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73" w:rsidRPr="00F771B4" w:rsidRDefault="00EB2573" w:rsidP="00A049FD">
      <w:pPr>
        <w:jc w:val="right"/>
        <w:rPr>
          <w:i/>
        </w:rPr>
      </w:pPr>
    </w:p>
    <w:tbl>
      <w:tblPr>
        <w:tblStyle w:val="TableGrid"/>
        <w:tblW w:w="0" w:type="auto"/>
        <w:tblLook w:val="04A0" w:firstRow="1" w:lastRow="0" w:firstColumn="1" w:lastColumn="0" w:noHBand="0" w:noVBand="1"/>
      </w:tblPr>
      <w:tblGrid>
        <w:gridCol w:w="1951"/>
        <w:gridCol w:w="6770"/>
      </w:tblGrid>
      <w:tr w:rsidR="00EB2573" w:rsidRPr="00F771B4" w:rsidTr="00A43574">
        <w:tc>
          <w:tcPr>
            <w:tcW w:w="1951" w:type="dxa"/>
          </w:tcPr>
          <w:p w:rsidR="00EB2573" w:rsidRPr="00F771B4" w:rsidRDefault="00EB2573" w:rsidP="00A43574">
            <w:r w:rsidRPr="00F771B4">
              <w:t xml:space="preserve">AANZ </w:t>
            </w:r>
            <w:r w:rsidR="00110059" w:rsidRPr="00110059">
              <w:t>Template</w:t>
            </w:r>
          </w:p>
        </w:tc>
        <w:tc>
          <w:tcPr>
            <w:tcW w:w="6770" w:type="dxa"/>
          </w:tcPr>
          <w:p w:rsidR="00EB2573" w:rsidRPr="00F771B4" w:rsidRDefault="00EB2573" w:rsidP="00A43574">
            <w:pPr>
              <w:rPr>
                <w:b/>
              </w:rPr>
            </w:pPr>
            <w:r w:rsidRPr="00F771B4">
              <w:rPr>
                <w:b/>
              </w:rPr>
              <w:t>Term Sheet</w:t>
            </w:r>
            <w:r w:rsidR="00B512ED" w:rsidRPr="00F771B4">
              <w:rPr>
                <w:b/>
              </w:rPr>
              <w:t xml:space="preserve"> (equity investment</w:t>
            </w:r>
            <w:r w:rsidRPr="00F771B4">
              <w:rPr>
                <w:b/>
              </w:rPr>
              <w:t>)</w:t>
            </w:r>
          </w:p>
          <w:p w:rsidR="00EB2573" w:rsidRPr="00F771B4" w:rsidRDefault="00EB2573" w:rsidP="00A43574">
            <w:pPr>
              <w:tabs>
                <w:tab w:val="left" w:pos="2190"/>
              </w:tabs>
              <w:rPr>
                <w:b/>
              </w:rPr>
            </w:pPr>
            <w:r w:rsidRPr="00F771B4">
              <w:rPr>
                <w:b/>
              </w:rPr>
              <w:tab/>
            </w:r>
          </w:p>
        </w:tc>
      </w:tr>
      <w:tr w:rsidR="00EB2573" w:rsidRPr="00F771B4" w:rsidTr="00A43574">
        <w:tc>
          <w:tcPr>
            <w:tcW w:w="1951" w:type="dxa"/>
          </w:tcPr>
          <w:p w:rsidR="00EB2573" w:rsidRPr="00F771B4" w:rsidRDefault="00EB2573" w:rsidP="00A43574">
            <w:r w:rsidRPr="00F771B4">
              <w:t>Release Date</w:t>
            </w:r>
          </w:p>
        </w:tc>
        <w:tc>
          <w:tcPr>
            <w:tcW w:w="6770" w:type="dxa"/>
          </w:tcPr>
          <w:p w:rsidR="00EB2573" w:rsidRPr="00F771B4" w:rsidRDefault="00960C76" w:rsidP="00A43574">
            <w:r>
              <w:t xml:space="preserve">Versions 1 - </w:t>
            </w:r>
            <w:r w:rsidR="00BB43A4">
              <w:t>4 February 2019</w:t>
            </w:r>
          </w:p>
          <w:p w:rsidR="00EB2573" w:rsidRPr="00F771B4" w:rsidRDefault="00EB2573" w:rsidP="00A43574"/>
        </w:tc>
      </w:tr>
      <w:tr w:rsidR="00EB2573" w:rsidRPr="00F771B4" w:rsidTr="00A43574">
        <w:tc>
          <w:tcPr>
            <w:tcW w:w="1951" w:type="dxa"/>
          </w:tcPr>
          <w:p w:rsidR="00EB2573" w:rsidRPr="00F771B4" w:rsidRDefault="00EB2573" w:rsidP="00A43574">
            <w:r w:rsidRPr="00F771B4">
              <w:t>AANZ Number</w:t>
            </w:r>
          </w:p>
        </w:tc>
        <w:tc>
          <w:tcPr>
            <w:tcW w:w="6770" w:type="dxa"/>
          </w:tcPr>
          <w:p w:rsidR="00EB2573" w:rsidRPr="00F771B4" w:rsidRDefault="00BB43A4" w:rsidP="00A43574">
            <w:r>
              <w:t>218011</w:t>
            </w:r>
          </w:p>
          <w:p w:rsidR="00EB2573" w:rsidRPr="00F771B4" w:rsidRDefault="00EB2573" w:rsidP="00A43574"/>
        </w:tc>
      </w:tr>
      <w:tr w:rsidR="00EB2573" w:rsidRPr="00F771B4" w:rsidTr="00A43574">
        <w:tc>
          <w:tcPr>
            <w:tcW w:w="1951" w:type="dxa"/>
          </w:tcPr>
          <w:p w:rsidR="00EB2573" w:rsidRPr="00F771B4" w:rsidRDefault="00EB2573" w:rsidP="00A43574">
            <w:r w:rsidRPr="00F771B4">
              <w:t>Version 1 Notes</w:t>
            </w:r>
          </w:p>
        </w:tc>
        <w:tc>
          <w:tcPr>
            <w:tcW w:w="6770" w:type="dxa"/>
          </w:tcPr>
          <w:p w:rsidR="00EB2573" w:rsidRPr="00F771B4" w:rsidRDefault="00EB2573" w:rsidP="00A43574">
            <w:r w:rsidRPr="00F771B4">
              <w:t xml:space="preserve">This </w:t>
            </w:r>
            <w:r w:rsidR="0033344F">
              <w:t>template</w:t>
            </w:r>
            <w:r w:rsidRPr="00F771B4">
              <w:t xml:space="preserve"> is a revised version of the NZVIF Term Sheet</w:t>
            </w:r>
            <w:r w:rsidR="00B512ED" w:rsidRPr="00F771B4">
              <w:t>s</w:t>
            </w:r>
            <w:r w:rsidRPr="00F771B4">
              <w:t xml:space="preserve"> for Ordinary</w:t>
            </w:r>
            <w:r w:rsidR="00B512ED" w:rsidRPr="00F771B4">
              <w:t xml:space="preserve"> and Preferred </w:t>
            </w:r>
            <w:r w:rsidRPr="00F771B4">
              <w:t xml:space="preserve">Shares (23 December 2015). </w:t>
            </w:r>
          </w:p>
          <w:p w:rsidR="000B1AC4" w:rsidRPr="00F771B4" w:rsidRDefault="000B1AC4" w:rsidP="00A43574"/>
        </w:tc>
      </w:tr>
      <w:tr w:rsidR="000B1AC4" w:rsidRPr="00F771B4" w:rsidTr="00A43574">
        <w:tc>
          <w:tcPr>
            <w:tcW w:w="1951" w:type="dxa"/>
          </w:tcPr>
          <w:p w:rsidR="000B1AC4" w:rsidRPr="00F771B4" w:rsidRDefault="000B1AC4" w:rsidP="00A43574">
            <w:r w:rsidRPr="00F771B4">
              <w:t>Use Notes</w:t>
            </w:r>
          </w:p>
        </w:tc>
        <w:tc>
          <w:tcPr>
            <w:tcW w:w="6770" w:type="dxa"/>
          </w:tcPr>
          <w:p w:rsidR="000B1AC4" w:rsidRPr="00F771B4" w:rsidRDefault="000B1AC4" w:rsidP="000B1AC4">
            <w:r w:rsidRPr="00F771B4">
              <w:t xml:space="preserve">This </w:t>
            </w:r>
            <w:r w:rsidR="0033344F">
              <w:t>AANZ template</w:t>
            </w:r>
            <w:r w:rsidR="0033344F" w:rsidRPr="00F771B4">
              <w:t xml:space="preserve"> </w:t>
            </w:r>
            <w:r w:rsidRPr="00F771B4">
              <w:t xml:space="preserve">term sheet applies if the investment is for </w:t>
            </w:r>
            <w:r w:rsidR="00B512ED" w:rsidRPr="00F771B4">
              <w:t>shares</w:t>
            </w:r>
            <w:r w:rsidRPr="00F771B4">
              <w:t xml:space="preserve">.  </w:t>
            </w:r>
          </w:p>
          <w:p w:rsidR="000B1AC4" w:rsidRPr="00F771B4" w:rsidRDefault="000B1AC4" w:rsidP="000B1AC4">
            <w:r w:rsidRPr="00F771B4">
              <w:t xml:space="preserve">Please use an alternative template </w:t>
            </w:r>
            <w:r w:rsidR="00B512ED" w:rsidRPr="00F771B4">
              <w:t>term sheet</w:t>
            </w:r>
            <w:r w:rsidRPr="00F771B4">
              <w:t xml:space="preserve"> if the investment </w:t>
            </w:r>
            <w:r w:rsidR="00497570">
              <w:t xml:space="preserve">is to be </w:t>
            </w:r>
            <w:r w:rsidRPr="00F771B4">
              <w:t>a loan convertible to equity.</w:t>
            </w:r>
          </w:p>
          <w:p w:rsidR="000B1AC4" w:rsidRPr="00F771B4" w:rsidRDefault="000B1AC4" w:rsidP="00A43574"/>
        </w:tc>
      </w:tr>
    </w:tbl>
    <w:p w:rsidR="00EB2573" w:rsidRPr="00F771B4" w:rsidRDefault="00EB2573" w:rsidP="00EB2573"/>
    <w:p w:rsidR="00EB2573" w:rsidRPr="00F771B4" w:rsidRDefault="00EB2573" w:rsidP="00EB2573">
      <w:r w:rsidRPr="00F771B4">
        <w:t xml:space="preserve">This </w:t>
      </w:r>
      <w:r w:rsidR="0033344F">
        <w:t>template</w:t>
      </w:r>
      <w:r w:rsidR="0033344F" w:rsidRPr="00F771B4">
        <w:t xml:space="preserve"> </w:t>
      </w:r>
      <w:r w:rsidRPr="00F771B4">
        <w:t xml:space="preserve">has been prepared by AANZ together with members of the NZ angel investment community and legal profession. </w:t>
      </w:r>
    </w:p>
    <w:p w:rsidR="00EB2573" w:rsidRPr="00F771B4" w:rsidRDefault="00EB2573" w:rsidP="00EB2573"/>
    <w:p w:rsidR="00EB2573" w:rsidRPr="00F771B4" w:rsidRDefault="00EB2573" w:rsidP="00EB2573">
      <w:r w:rsidRPr="00F771B4">
        <w:t>The aim of this template (and other template documents we make available) is to promote standard</w:t>
      </w:r>
      <w:r w:rsidR="00B512ED" w:rsidRPr="00F771B4">
        <w:t>ised</w:t>
      </w:r>
      <w:r w:rsidRPr="00F771B4">
        <w:t xml:space="preserve"> legal documentation for use in NZ so investors, entrepreneurs, and companies can focus on deal-specific matters. </w:t>
      </w:r>
    </w:p>
    <w:p w:rsidR="00EB2573" w:rsidRPr="00F771B4" w:rsidRDefault="00EB2573" w:rsidP="00EB2573"/>
    <w:p w:rsidR="00EB2573" w:rsidRPr="00F771B4" w:rsidRDefault="002B028C" w:rsidP="00EB2573">
      <w:r>
        <w:t>Footnotes are intended to assist with completing this Term Sheet and a</w:t>
      </w:r>
      <w:r w:rsidR="00EB2573" w:rsidRPr="00F771B4">
        <w:t>ll parties should:</w:t>
      </w:r>
    </w:p>
    <w:p w:rsidR="00EB2573" w:rsidRPr="00F771B4" w:rsidRDefault="00EB2573" w:rsidP="00EB2573">
      <w:pPr>
        <w:pStyle w:val="ListParagraph"/>
        <w:numPr>
          <w:ilvl w:val="0"/>
          <w:numId w:val="19"/>
        </w:numPr>
        <w:contextualSpacing w:val="0"/>
        <w:jc w:val="left"/>
        <w:rPr>
          <w:szCs w:val="21"/>
        </w:rPr>
      </w:pPr>
      <w:r w:rsidRPr="00F771B4">
        <w:rPr>
          <w:szCs w:val="21"/>
        </w:rPr>
        <w:t xml:space="preserve">ensure they are aligned about the business outcomes, success, and the return on their investment; </w:t>
      </w:r>
    </w:p>
    <w:p w:rsidR="00EB2573" w:rsidRPr="00F771B4" w:rsidRDefault="00EB2573" w:rsidP="00EB2573">
      <w:pPr>
        <w:pStyle w:val="ListParagraph"/>
        <w:numPr>
          <w:ilvl w:val="0"/>
          <w:numId w:val="19"/>
        </w:numPr>
        <w:contextualSpacing w:val="0"/>
        <w:jc w:val="left"/>
        <w:rPr>
          <w:szCs w:val="21"/>
        </w:rPr>
      </w:pPr>
      <w:r w:rsidRPr="00F771B4">
        <w:rPr>
          <w:szCs w:val="21"/>
        </w:rPr>
        <w:t>consider the appropriateness and implications of key terms, including:</w:t>
      </w:r>
    </w:p>
    <w:p w:rsidR="00852878" w:rsidRPr="00F771B4" w:rsidRDefault="00852878" w:rsidP="00EB2573">
      <w:pPr>
        <w:pStyle w:val="ListParagraph"/>
        <w:numPr>
          <w:ilvl w:val="1"/>
          <w:numId w:val="19"/>
        </w:numPr>
        <w:ind w:left="709"/>
        <w:contextualSpacing w:val="0"/>
        <w:jc w:val="left"/>
        <w:rPr>
          <w:szCs w:val="21"/>
        </w:rPr>
      </w:pPr>
      <w:r w:rsidRPr="00F771B4">
        <w:rPr>
          <w:szCs w:val="21"/>
        </w:rPr>
        <w:t xml:space="preserve">investment conditions </w:t>
      </w:r>
    </w:p>
    <w:p w:rsidR="00A27DE6" w:rsidRDefault="00A27DE6" w:rsidP="00A27DE6">
      <w:pPr>
        <w:pStyle w:val="ListParagraph"/>
        <w:numPr>
          <w:ilvl w:val="1"/>
          <w:numId w:val="19"/>
        </w:numPr>
        <w:ind w:left="709"/>
        <w:contextualSpacing w:val="0"/>
        <w:jc w:val="left"/>
        <w:rPr>
          <w:szCs w:val="21"/>
        </w:rPr>
      </w:pPr>
      <w:r w:rsidRPr="00F22399">
        <w:rPr>
          <w:szCs w:val="21"/>
        </w:rPr>
        <w:t>how the shares are priced and paid for</w:t>
      </w:r>
    </w:p>
    <w:p w:rsidR="00EB2573" w:rsidRPr="00F771B4" w:rsidRDefault="00EB2573" w:rsidP="00EB2573">
      <w:pPr>
        <w:pStyle w:val="ListParagraph"/>
        <w:numPr>
          <w:ilvl w:val="1"/>
          <w:numId w:val="19"/>
        </w:numPr>
        <w:ind w:left="709"/>
        <w:contextualSpacing w:val="0"/>
        <w:jc w:val="left"/>
        <w:rPr>
          <w:szCs w:val="21"/>
        </w:rPr>
      </w:pPr>
      <w:r w:rsidRPr="00F771B4">
        <w:rPr>
          <w:szCs w:val="21"/>
        </w:rPr>
        <w:t>types of shares</w:t>
      </w:r>
    </w:p>
    <w:p w:rsidR="008B151F" w:rsidRPr="00F771B4" w:rsidRDefault="008B151F" w:rsidP="008B151F">
      <w:pPr>
        <w:pStyle w:val="ListParagraph"/>
        <w:numPr>
          <w:ilvl w:val="1"/>
          <w:numId w:val="19"/>
        </w:numPr>
        <w:ind w:left="709"/>
        <w:contextualSpacing w:val="0"/>
        <w:jc w:val="left"/>
        <w:rPr>
          <w:szCs w:val="21"/>
        </w:rPr>
      </w:pPr>
      <w:r>
        <w:rPr>
          <w:szCs w:val="21"/>
        </w:rPr>
        <w:t>warranties</w:t>
      </w:r>
    </w:p>
    <w:p w:rsidR="00A27DE6" w:rsidRDefault="00A27DE6" w:rsidP="00EB2573">
      <w:pPr>
        <w:pStyle w:val="ListParagraph"/>
        <w:numPr>
          <w:ilvl w:val="1"/>
          <w:numId w:val="19"/>
        </w:numPr>
        <w:ind w:left="709"/>
        <w:contextualSpacing w:val="0"/>
        <w:jc w:val="left"/>
        <w:rPr>
          <w:szCs w:val="21"/>
        </w:rPr>
      </w:pPr>
      <w:r w:rsidRPr="00F22399">
        <w:rPr>
          <w:szCs w:val="21"/>
        </w:rPr>
        <w:t>the application of FMCA exclusions to the investor/investment</w:t>
      </w:r>
      <w:r w:rsidRPr="00F771B4">
        <w:rPr>
          <w:szCs w:val="21"/>
        </w:rPr>
        <w:t xml:space="preserve"> </w:t>
      </w:r>
    </w:p>
    <w:p w:rsidR="00EB2573" w:rsidRPr="00F771B4" w:rsidRDefault="00EB2573" w:rsidP="00EB2573">
      <w:pPr>
        <w:pStyle w:val="ListParagraph"/>
        <w:numPr>
          <w:ilvl w:val="1"/>
          <w:numId w:val="19"/>
        </w:numPr>
        <w:ind w:left="709"/>
        <w:contextualSpacing w:val="0"/>
        <w:jc w:val="left"/>
        <w:rPr>
          <w:szCs w:val="21"/>
        </w:rPr>
      </w:pPr>
      <w:r w:rsidRPr="00F771B4">
        <w:rPr>
          <w:szCs w:val="21"/>
        </w:rPr>
        <w:t xml:space="preserve">director appointment rights </w:t>
      </w:r>
    </w:p>
    <w:p w:rsidR="00EB2573" w:rsidRPr="00F771B4" w:rsidRDefault="00EB2573" w:rsidP="00EB2573">
      <w:pPr>
        <w:pStyle w:val="ListParagraph"/>
        <w:numPr>
          <w:ilvl w:val="1"/>
          <w:numId w:val="19"/>
        </w:numPr>
        <w:ind w:left="709"/>
        <w:contextualSpacing w:val="0"/>
        <w:jc w:val="left"/>
        <w:rPr>
          <w:szCs w:val="21"/>
        </w:rPr>
      </w:pPr>
      <w:r w:rsidRPr="00F771B4">
        <w:rPr>
          <w:szCs w:val="21"/>
        </w:rPr>
        <w:t>board approval provisions</w:t>
      </w:r>
    </w:p>
    <w:p w:rsidR="008B151F" w:rsidRPr="00F771B4" w:rsidRDefault="008B151F" w:rsidP="008B151F">
      <w:pPr>
        <w:pStyle w:val="ListParagraph"/>
        <w:numPr>
          <w:ilvl w:val="1"/>
          <w:numId w:val="19"/>
        </w:numPr>
        <w:ind w:left="709"/>
        <w:contextualSpacing w:val="0"/>
        <w:jc w:val="left"/>
        <w:rPr>
          <w:szCs w:val="21"/>
        </w:rPr>
      </w:pPr>
      <w:r w:rsidRPr="00F771B4">
        <w:rPr>
          <w:szCs w:val="21"/>
        </w:rPr>
        <w:t>founder vesting</w:t>
      </w:r>
    </w:p>
    <w:p w:rsidR="00EB2573" w:rsidRPr="00F771B4" w:rsidRDefault="00EB2573" w:rsidP="00EB2573">
      <w:pPr>
        <w:pStyle w:val="ListParagraph"/>
        <w:numPr>
          <w:ilvl w:val="1"/>
          <w:numId w:val="19"/>
        </w:numPr>
        <w:ind w:left="709"/>
        <w:contextualSpacing w:val="0"/>
        <w:jc w:val="left"/>
        <w:rPr>
          <w:szCs w:val="21"/>
        </w:rPr>
      </w:pPr>
      <w:r w:rsidRPr="00F771B4">
        <w:rPr>
          <w:szCs w:val="21"/>
        </w:rPr>
        <w:t>restricted share transfers</w:t>
      </w:r>
    </w:p>
    <w:p w:rsidR="005E575E" w:rsidRPr="00F771B4" w:rsidRDefault="005E575E" w:rsidP="00EB2573">
      <w:pPr>
        <w:pStyle w:val="ListParagraph"/>
        <w:numPr>
          <w:ilvl w:val="1"/>
          <w:numId w:val="19"/>
        </w:numPr>
        <w:ind w:left="709"/>
        <w:contextualSpacing w:val="0"/>
        <w:jc w:val="left"/>
        <w:rPr>
          <w:szCs w:val="21"/>
        </w:rPr>
      </w:pPr>
      <w:r w:rsidRPr="00F771B4">
        <w:rPr>
          <w:szCs w:val="21"/>
        </w:rPr>
        <w:t>restraints</w:t>
      </w:r>
    </w:p>
    <w:p w:rsidR="008B151F" w:rsidRPr="00F771B4" w:rsidRDefault="008B151F" w:rsidP="008B151F">
      <w:pPr>
        <w:pStyle w:val="ListParagraph"/>
        <w:numPr>
          <w:ilvl w:val="1"/>
          <w:numId w:val="19"/>
        </w:numPr>
        <w:ind w:left="709"/>
        <w:contextualSpacing w:val="0"/>
        <w:jc w:val="left"/>
        <w:rPr>
          <w:szCs w:val="21"/>
        </w:rPr>
      </w:pPr>
      <w:r w:rsidRPr="00F771B4">
        <w:rPr>
          <w:szCs w:val="21"/>
        </w:rPr>
        <w:t>anti-dilution protections</w:t>
      </w:r>
    </w:p>
    <w:p w:rsidR="00EB2573" w:rsidRPr="00F771B4" w:rsidRDefault="00EB2573" w:rsidP="00EB2573">
      <w:pPr>
        <w:pStyle w:val="ListParagraph"/>
        <w:numPr>
          <w:ilvl w:val="1"/>
          <w:numId w:val="19"/>
        </w:numPr>
        <w:ind w:left="709"/>
        <w:contextualSpacing w:val="0"/>
        <w:jc w:val="left"/>
        <w:rPr>
          <w:szCs w:val="21"/>
        </w:rPr>
      </w:pPr>
      <w:r w:rsidRPr="00F771B4">
        <w:rPr>
          <w:szCs w:val="21"/>
        </w:rPr>
        <w:t>tag-along and drag-along rights</w:t>
      </w:r>
    </w:p>
    <w:p w:rsidR="00852878" w:rsidRPr="00F771B4" w:rsidRDefault="00EB2573" w:rsidP="00852878">
      <w:pPr>
        <w:pStyle w:val="ListParagraph"/>
        <w:numPr>
          <w:ilvl w:val="1"/>
          <w:numId w:val="19"/>
        </w:numPr>
        <w:ind w:left="709"/>
        <w:contextualSpacing w:val="0"/>
        <w:jc w:val="left"/>
        <w:rPr>
          <w:szCs w:val="21"/>
        </w:rPr>
      </w:pPr>
      <w:r w:rsidRPr="00F771B4">
        <w:rPr>
          <w:szCs w:val="21"/>
        </w:rPr>
        <w:t xml:space="preserve">employee </w:t>
      </w:r>
      <w:r w:rsidR="0049445C">
        <w:rPr>
          <w:szCs w:val="21"/>
        </w:rPr>
        <w:t>share scheme</w:t>
      </w:r>
      <w:r w:rsidRPr="00F771B4">
        <w:rPr>
          <w:szCs w:val="21"/>
        </w:rPr>
        <w:t>s</w:t>
      </w:r>
      <w:r w:rsidR="00A27DE6">
        <w:rPr>
          <w:szCs w:val="21"/>
        </w:rPr>
        <w:t>; and</w:t>
      </w:r>
    </w:p>
    <w:p w:rsidR="00EB2573" w:rsidRPr="00F771B4" w:rsidRDefault="00EB2573" w:rsidP="00EB2573">
      <w:pPr>
        <w:pStyle w:val="ListParagraph"/>
        <w:numPr>
          <w:ilvl w:val="0"/>
          <w:numId w:val="19"/>
        </w:numPr>
        <w:contextualSpacing w:val="0"/>
        <w:jc w:val="left"/>
        <w:rPr>
          <w:szCs w:val="21"/>
        </w:rPr>
      </w:pPr>
      <w:proofErr w:type="gramStart"/>
      <w:r w:rsidRPr="00F771B4">
        <w:rPr>
          <w:szCs w:val="21"/>
        </w:rPr>
        <w:t>seek</w:t>
      </w:r>
      <w:proofErr w:type="gramEnd"/>
      <w:r w:rsidRPr="00F771B4">
        <w:rPr>
          <w:szCs w:val="21"/>
        </w:rPr>
        <w:t xml:space="preserve"> their own legal advice when agreeing and documenting investments terms.</w:t>
      </w:r>
    </w:p>
    <w:p w:rsidR="00EB2573" w:rsidRPr="00F771B4" w:rsidRDefault="00EB2573" w:rsidP="00EB2573"/>
    <w:p w:rsidR="00304FED" w:rsidRPr="00570BE9" w:rsidRDefault="00304FED" w:rsidP="00304FED">
      <w:r w:rsidRPr="00570BE9">
        <w:t>AANZ aims to coordinate updates of the template documents annually to keep up with market practice. Comments on the documents are welcome, and will be taken into account in the next review</w:t>
      </w:r>
      <w:r>
        <w:t xml:space="preserve"> (or urgently should this be required)</w:t>
      </w:r>
      <w:r w:rsidRPr="00570BE9">
        <w:t>.</w:t>
      </w:r>
      <w:r>
        <w:t xml:space="preserve"> Comments can be sent to </w:t>
      </w:r>
      <w:hyperlink r:id="rId10" w:history="1">
        <w:r w:rsidRPr="006745D3">
          <w:rPr>
            <w:rStyle w:val="Hyperlink"/>
          </w:rPr>
          <w:t>templates@angelassociation.co.nz</w:t>
        </w:r>
      </w:hyperlink>
    </w:p>
    <w:p w:rsidR="00EB2573" w:rsidRPr="00F771B4" w:rsidRDefault="00EB2573" w:rsidP="00EB2573"/>
    <w:p w:rsidR="00EB2573" w:rsidRPr="00F771B4" w:rsidRDefault="00EB2573" w:rsidP="00EB2573">
      <w:r w:rsidRPr="00C94826">
        <w:t xml:space="preserve">AANZ would like to thank </w:t>
      </w:r>
      <w:r w:rsidR="00AA7F60" w:rsidRPr="00C94826">
        <w:t>Avid.legal</w:t>
      </w:r>
      <w:r w:rsidR="003342A7" w:rsidRPr="00C94826">
        <w:t xml:space="preserve">, </w:t>
      </w:r>
      <w:r w:rsidR="00C94826" w:rsidRPr="00C94826">
        <w:t>Chapman Tripp</w:t>
      </w:r>
      <w:r w:rsidR="00A0339A" w:rsidRPr="00C94826">
        <w:t xml:space="preserve">, </w:t>
      </w:r>
      <w:r w:rsidR="00C94826" w:rsidRPr="00C94826">
        <w:t xml:space="preserve">NZVIF, </w:t>
      </w:r>
      <w:r w:rsidR="003342A7" w:rsidRPr="00C94826">
        <w:t xml:space="preserve">Simmonds Stewart, </w:t>
      </w:r>
      <w:r w:rsidR="00A0339A" w:rsidRPr="00C94826">
        <w:t xml:space="preserve">and </w:t>
      </w:r>
      <w:r w:rsidR="003342A7" w:rsidRPr="00C94826">
        <w:t>Simpson Grierson</w:t>
      </w:r>
      <w:r w:rsidRPr="00C94826">
        <w:t xml:space="preserve"> who, among others, kindly provided support and expertise in the development of this </w:t>
      </w:r>
      <w:r w:rsidR="0033344F" w:rsidRPr="00C94826">
        <w:t>template</w:t>
      </w:r>
      <w:r w:rsidRPr="00C94826">
        <w:t>.</w:t>
      </w:r>
    </w:p>
    <w:p w:rsidR="00EB2573" w:rsidRPr="00F771B4" w:rsidRDefault="00EB2573" w:rsidP="00EB2573"/>
    <w:p w:rsidR="00EB2573" w:rsidRPr="00F771B4" w:rsidRDefault="0033344F" w:rsidP="00EB2573">
      <w:r>
        <w:rPr>
          <w:b/>
        </w:rPr>
        <w:t>D</w:t>
      </w:r>
      <w:r w:rsidR="00EB2573" w:rsidRPr="00F771B4">
        <w:rPr>
          <w:b/>
        </w:rPr>
        <w:t>isclaimer</w:t>
      </w:r>
      <w:r w:rsidR="00EB2573" w:rsidRPr="00F771B4">
        <w:t xml:space="preserve">: Neither AANZ nor any contributors to this document take any responsibility for the content of </w:t>
      </w:r>
      <w:r>
        <w:t>template</w:t>
      </w:r>
      <w:r w:rsidRPr="00F771B4">
        <w:t xml:space="preserve"> </w:t>
      </w:r>
      <w:r w:rsidR="00EB2573" w:rsidRPr="00F771B4">
        <w:t>document</w:t>
      </w:r>
      <w:r>
        <w:t>s or the consequences of using them</w:t>
      </w:r>
      <w:r w:rsidR="00EB2573" w:rsidRPr="00F771B4">
        <w:t xml:space="preserve">. You should take </w:t>
      </w:r>
      <w:r>
        <w:t xml:space="preserve">your own </w:t>
      </w:r>
      <w:r w:rsidR="00EB2573" w:rsidRPr="00F771B4">
        <w:t xml:space="preserve">legal advice before using this </w:t>
      </w:r>
      <w:r>
        <w:t>template</w:t>
      </w:r>
      <w:r w:rsidR="0061671E">
        <w:t>. This template</w:t>
      </w:r>
      <w:r w:rsidR="00EB2573" w:rsidRPr="00F771B4">
        <w:t xml:space="preserve"> is intended to serve as starting point only and should be tailored to meet your specific requirements. Nothing in this </w:t>
      </w:r>
      <w:r w:rsidR="0061671E">
        <w:t>template</w:t>
      </w:r>
      <w:r w:rsidR="00EB2573" w:rsidRPr="00F771B4">
        <w:t xml:space="preserve"> should be construed as legal advice for any particular facts or circumstances.</w:t>
      </w:r>
    </w:p>
    <w:p w:rsidR="00EB2573" w:rsidRPr="00F771B4" w:rsidRDefault="00EB2573" w:rsidP="00EB2573">
      <w:pPr>
        <w:pStyle w:val="Legal2"/>
        <w:numPr>
          <w:ilvl w:val="0"/>
          <w:numId w:val="0"/>
        </w:numPr>
        <w:spacing w:after="0" w:line="0" w:lineRule="atLeast"/>
      </w:pPr>
    </w:p>
    <w:p w:rsidR="00EB2573" w:rsidRPr="00F771B4" w:rsidRDefault="00EB2573" w:rsidP="00EB2573">
      <w:pPr>
        <w:tabs>
          <w:tab w:val="left" w:pos="2268"/>
          <w:tab w:val="left" w:pos="2553"/>
          <w:tab w:val="left" w:pos="3404"/>
          <w:tab w:val="left" w:pos="4255"/>
          <w:tab w:val="left" w:pos="5106"/>
          <w:tab w:val="left" w:pos="6300"/>
        </w:tabs>
        <w:ind w:right="-163"/>
        <w:rPr>
          <w:b/>
          <w:sz w:val="36"/>
          <w:szCs w:val="36"/>
        </w:rPr>
      </w:pPr>
    </w:p>
    <w:p w:rsidR="00EB2573" w:rsidRPr="00F771B4" w:rsidRDefault="00EB2573" w:rsidP="00D42874">
      <w:pPr>
        <w:tabs>
          <w:tab w:val="left" w:pos="2268"/>
          <w:tab w:val="left" w:pos="2553"/>
          <w:tab w:val="left" w:pos="3404"/>
          <w:tab w:val="left" w:pos="4255"/>
          <w:tab w:val="left" w:pos="5106"/>
          <w:tab w:val="left" w:pos="6300"/>
        </w:tabs>
        <w:ind w:right="-163"/>
        <w:jc w:val="center"/>
        <w:rPr>
          <w:b/>
          <w:sz w:val="36"/>
          <w:szCs w:val="36"/>
        </w:rPr>
        <w:sectPr w:rsidR="00EB2573" w:rsidRPr="00F771B4" w:rsidSect="00716263">
          <w:headerReference w:type="even" r:id="rId11"/>
          <w:headerReference w:type="default" r:id="rId12"/>
          <w:footerReference w:type="even" r:id="rId13"/>
          <w:footerReference w:type="default" r:id="rId14"/>
          <w:headerReference w:type="first" r:id="rId15"/>
          <w:footerReference w:type="first" r:id="rId16"/>
          <w:pgSz w:w="11907" w:h="16840" w:code="9"/>
          <w:pgMar w:top="1247" w:right="1474" w:bottom="1440" w:left="1701" w:header="720" w:footer="505" w:gutter="0"/>
          <w:paperSrc w:first="265" w:other="265"/>
          <w:cols w:space="720"/>
          <w:titlePg/>
          <w:docGrid w:linePitch="286"/>
        </w:sectPr>
      </w:pPr>
    </w:p>
    <w:p w:rsidR="00D42874" w:rsidRPr="00F771B4" w:rsidRDefault="00D42874" w:rsidP="00D42874">
      <w:pPr>
        <w:tabs>
          <w:tab w:val="left" w:pos="2268"/>
          <w:tab w:val="left" w:pos="2553"/>
          <w:tab w:val="left" w:pos="3404"/>
          <w:tab w:val="left" w:pos="4255"/>
          <w:tab w:val="left" w:pos="5106"/>
          <w:tab w:val="left" w:pos="6300"/>
        </w:tabs>
        <w:ind w:right="-163"/>
        <w:jc w:val="center"/>
        <w:rPr>
          <w:b/>
          <w:sz w:val="36"/>
          <w:szCs w:val="36"/>
        </w:rPr>
      </w:pPr>
      <w:r w:rsidRPr="00F771B4">
        <w:rPr>
          <w:b/>
          <w:sz w:val="36"/>
          <w:szCs w:val="36"/>
        </w:rPr>
        <w:t>TERM SHEET</w:t>
      </w:r>
    </w:p>
    <w:p w:rsidR="00D42874" w:rsidRPr="00F771B4" w:rsidRDefault="00D42874" w:rsidP="00D42874">
      <w:pPr>
        <w:jc w:val="center"/>
        <w:rPr>
          <w:b/>
        </w:rPr>
      </w:pPr>
    </w:p>
    <w:p w:rsidR="00D42874" w:rsidRPr="00F771B4" w:rsidRDefault="00D42874" w:rsidP="00D42874">
      <w:pPr>
        <w:jc w:val="center"/>
        <w:rPr>
          <w:b/>
        </w:rPr>
      </w:pPr>
      <w:r w:rsidRPr="00F771B4">
        <w:rPr>
          <w:b/>
        </w:rPr>
        <w:t>FOR ISSUE OF SHARES BY</w:t>
      </w:r>
    </w:p>
    <w:p w:rsidR="00D42874" w:rsidRPr="00F771B4" w:rsidRDefault="00D42874" w:rsidP="00D42874">
      <w:pPr>
        <w:jc w:val="center"/>
        <w:rPr>
          <w:b/>
        </w:rPr>
      </w:pPr>
    </w:p>
    <w:p w:rsidR="00D42874" w:rsidRPr="00F771B4" w:rsidRDefault="00144B9B" w:rsidP="00D42874">
      <w:pPr>
        <w:jc w:val="center"/>
        <w:rPr>
          <w:b/>
        </w:rPr>
      </w:pPr>
      <w:r w:rsidRPr="00F771B4">
        <w:rPr>
          <w:b/>
        </w:rPr>
        <w:t>[</w:t>
      </w:r>
      <w:r w:rsidR="001A730E" w:rsidRPr="00F771B4">
        <w:t>●</w:t>
      </w:r>
      <w:r w:rsidRPr="00F771B4">
        <w:rPr>
          <w:b/>
        </w:rPr>
        <w:t>]</w:t>
      </w:r>
      <w:r w:rsidR="00D42874" w:rsidRPr="00F771B4">
        <w:rPr>
          <w:b/>
        </w:rPr>
        <w:t xml:space="preserve"> LIMITED</w:t>
      </w:r>
      <w:r w:rsidR="002448F5" w:rsidRPr="00F771B4">
        <w:rPr>
          <w:b/>
        </w:rPr>
        <w:t xml:space="preserve"> </w:t>
      </w:r>
      <w:r w:rsidR="00D42874" w:rsidRPr="00F771B4">
        <w:rPr>
          <w:b/>
        </w:rPr>
        <w:t>(Company)</w:t>
      </w:r>
    </w:p>
    <w:p w:rsidR="00D42874" w:rsidRPr="00F771B4" w:rsidRDefault="00D42874" w:rsidP="00D42874"/>
    <w:p w:rsidR="00D42874" w:rsidRPr="00F771B4" w:rsidRDefault="00D42874" w:rsidP="00D42874">
      <w:r w:rsidRPr="00F771B4">
        <w:t>This document (</w:t>
      </w:r>
      <w:r w:rsidRPr="00F771B4">
        <w:rPr>
          <w:b/>
        </w:rPr>
        <w:t>Term Sheet</w:t>
      </w:r>
      <w:r w:rsidRPr="00F771B4">
        <w:t>) summarises the principal terms of a proposed investment in the Company (</w:t>
      </w:r>
      <w:r w:rsidRPr="00F771B4">
        <w:rPr>
          <w:b/>
        </w:rPr>
        <w:t>Investment</w:t>
      </w:r>
      <w:r w:rsidRPr="00F771B4">
        <w:t>).  This Term Sheet is not legally binding except for the terms stat</w:t>
      </w:r>
      <w:r w:rsidR="0033344F">
        <w:t>ed in part B of this Term Sheet. T</w:t>
      </w:r>
      <w:r w:rsidRPr="00F771B4">
        <w:t xml:space="preserve">here will be no obligation to issue or subscribe for shares in the Company until binding investment </w:t>
      </w:r>
      <w:r w:rsidR="000B1AC4" w:rsidRPr="00F771B4">
        <w:t>documents</w:t>
      </w:r>
      <w:r w:rsidRPr="00F771B4">
        <w:t xml:space="preserve"> </w:t>
      </w:r>
      <w:r w:rsidR="000B1AC4" w:rsidRPr="00F771B4">
        <w:t>are</w:t>
      </w:r>
      <w:r w:rsidRPr="00F771B4">
        <w:t xml:space="preserve"> signed by the parties.</w:t>
      </w:r>
    </w:p>
    <w:p w:rsidR="00D42874" w:rsidRPr="00F771B4" w:rsidRDefault="00D42874" w:rsidP="00D42874">
      <w:pPr>
        <w:jc w:val="left"/>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387"/>
        <w:gridCol w:w="1417"/>
        <w:gridCol w:w="947"/>
        <w:gridCol w:w="1313"/>
        <w:gridCol w:w="714"/>
        <w:gridCol w:w="1279"/>
      </w:tblGrid>
      <w:tr w:rsidR="00497570" w:rsidRPr="00497570" w:rsidTr="00497570">
        <w:tc>
          <w:tcPr>
            <w:tcW w:w="8676" w:type="dxa"/>
            <w:gridSpan w:val="7"/>
            <w:shd w:val="clear" w:color="auto" w:fill="000000" w:themeFill="text1"/>
          </w:tcPr>
          <w:p w:rsidR="000A2542" w:rsidRPr="00497570" w:rsidRDefault="000A2542" w:rsidP="00497570">
            <w:pPr>
              <w:jc w:val="center"/>
              <w:rPr>
                <w:b/>
              </w:rPr>
            </w:pPr>
            <w:r w:rsidRPr="00497570">
              <w:rPr>
                <w:b/>
              </w:rPr>
              <w:t>PART A:  INVESTMENT TERMS (non-binding)</w:t>
            </w:r>
          </w:p>
          <w:p w:rsidR="000A2542" w:rsidRPr="00497570" w:rsidRDefault="000A2542" w:rsidP="00497570">
            <w:pPr>
              <w:jc w:val="center"/>
              <w:rPr>
                <w:b/>
              </w:rPr>
            </w:pPr>
          </w:p>
        </w:tc>
      </w:tr>
      <w:tr w:rsidR="00497570" w:rsidRPr="00F771B4" w:rsidTr="00497570">
        <w:tc>
          <w:tcPr>
            <w:tcW w:w="8676" w:type="dxa"/>
            <w:gridSpan w:val="7"/>
            <w:shd w:val="clear" w:color="auto" w:fill="BFBFBF" w:themeFill="background1" w:themeFillShade="BF"/>
          </w:tcPr>
          <w:p w:rsidR="00497570" w:rsidRDefault="00497570" w:rsidP="00497570">
            <w:pPr>
              <w:jc w:val="center"/>
              <w:rPr>
                <w:b/>
              </w:rPr>
            </w:pPr>
            <w:r w:rsidRPr="00497570">
              <w:rPr>
                <w:b/>
              </w:rPr>
              <w:t>Parameters of the investment round</w:t>
            </w:r>
          </w:p>
          <w:p w:rsidR="00CC24B1" w:rsidRPr="00497570" w:rsidRDefault="00CC24B1" w:rsidP="00497570">
            <w:pPr>
              <w:jc w:val="center"/>
              <w:rPr>
                <w:b/>
              </w:rPr>
            </w:pPr>
          </w:p>
        </w:tc>
      </w:tr>
      <w:tr w:rsidR="001A730E" w:rsidRPr="00F771B4" w:rsidTr="00114C61">
        <w:trPr>
          <w:trHeight w:val="144"/>
        </w:trPr>
        <w:tc>
          <w:tcPr>
            <w:tcW w:w="2619" w:type="dxa"/>
            <w:vMerge w:val="restart"/>
            <w:shd w:val="clear" w:color="auto" w:fill="auto"/>
          </w:tcPr>
          <w:p w:rsidR="001A730E" w:rsidRPr="00F771B4" w:rsidRDefault="001A730E" w:rsidP="00C47BB4">
            <w:pPr>
              <w:jc w:val="left"/>
              <w:rPr>
                <w:b/>
              </w:rPr>
            </w:pPr>
            <w:r w:rsidRPr="00F771B4">
              <w:rPr>
                <w:b/>
              </w:rPr>
              <w:t xml:space="preserve">Investment </w:t>
            </w:r>
            <w:r w:rsidR="00C47BB4">
              <w:rPr>
                <w:b/>
              </w:rPr>
              <w:t>Round</w:t>
            </w:r>
          </w:p>
        </w:tc>
        <w:tc>
          <w:tcPr>
            <w:tcW w:w="2751" w:type="dxa"/>
            <w:gridSpan w:val="3"/>
            <w:shd w:val="clear" w:color="auto" w:fill="auto"/>
          </w:tcPr>
          <w:p w:rsidR="0056606F" w:rsidRPr="00F771B4" w:rsidRDefault="00417054" w:rsidP="00C3431E">
            <w:pPr>
              <w:spacing w:before="60" w:after="60"/>
              <w:jc w:val="left"/>
              <w:rPr>
                <w:b/>
              </w:rPr>
            </w:pPr>
            <w:r>
              <w:rPr>
                <w:b/>
              </w:rPr>
              <w:t>[</w:t>
            </w:r>
            <w:r w:rsidR="0056606F" w:rsidRPr="00417054">
              <w:rPr>
                <w:b/>
                <w:i/>
              </w:rPr>
              <w:t>Fixed Round</w:t>
            </w:r>
            <w:r>
              <w:rPr>
                <w:b/>
              </w:rPr>
              <w:t>]</w:t>
            </w:r>
            <w:r w:rsidR="0056606F">
              <w:rPr>
                <w:rStyle w:val="FootnoteReference"/>
                <w:b/>
              </w:rPr>
              <w:footnoteReference w:id="1"/>
            </w:r>
          </w:p>
        </w:tc>
        <w:tc>
          <w:tcPr>
            <w:tcW w:w="3306" w:type="dxa"/>
            <w:gridSpan w:val="3"/>
            <w:shd w:val="clear" w:color="auto" w:fill="auto"/>
          </w:tcPr>
          <w:p w:rsidR="001A730E" w:rsidRPr="00F771B4" w:rsidRDefault="001A730E" w:rsidP="00C3431E">
            <w:pPr>
              <w:spacing w:before="60" w:after="60"/>
            </w:pPr>
            <w:r w:rsidRPr="00F771B4">
              <w:t xml:space="preserve">$ </w:t>
            </w:r>
            <w:r w:rsidR="00144B9B" w:rsidRPr="00F771B4">
              <w:rPr>
                <w:b/>
              </w:rPr>
              <w:t>[</w:t>
            </w:r>
            <w:r w:rsidR="00C3431E" w:rsidRPr="00F771B4">
              <w:rPr>
                <w:i/>
              </w:rPr>
              <w:t>insert amount</w:t>
            </w:r>
            <w:r w:rsidR="00144B9B" w:rsidRPr="00F771B4">
              <w:rPr>
                <w:b/>
              </w:rPr>
              <w:t>]</w:t>
            </w:r>
          </w:p>
        </w:tc>
      </w:tr>
      <w:tr w:rsidR="001A730E" w:rsidRPr="00F771B4" w:rsidTr="00114C61">
        <w:trPr>
          <w:trHeight w:val="144"/>
        </w:trPr>
        <w:tc>
          <w:tcPr>
            <w:tcW w:w="2619" w:type="dxa"/>
            <w:vMerge/>
            <w:shd w:val="clear" w:color="auto" w:fill="auto"/>
          </w:tcPr>
          <w:p w:rsidR="001A730E" w:rsidRPr="00F771B4" w:rsidRDefault="001A730E" w:rsidP="00A43574">
            <w:pPr>
              <w:jc w:val="left"/>
              <w:rPr>
                <w:b/>
              </w:rPr>
            </w:pPr>
          </w:p>
        </w:tc>
        <w:tc>
          <w:tcPr>
            <w:tcW w:w="2751" w:type="dxa"/>
            <w:gridSpan w:val="3"/>
            <w:shd w:val="clear" w:color="auto" w:fill="auto"/>
          </w:tcPr>
          <w:p w:rsidR="001A730E" w:rsidRPr="00F771B4" w:rsidRDefault="00417054" w:rsidP="00C3431E">
            <w:pPr>
              <w:spacing w:before="60" w:after="60"/>
              <w:jc w:val="left"/>
              <w:rPr>
                <w:b/>
              </w:rPr>
            </w:pPr>
            <w:r>
              <w:rPr>
                <w:b/>
              </w:rPr>
              <w:t>[</w:t>
            </w:r>
            <w:r w:rsidR="00852878" w:rsidRPr="00417054">
              <w:rPr>
                <w:b/>
                <w:i/>
              </w:rPr>
              <w:t>Minimum Round Size</w:t>
            </w:r>
            <w:r>
              <w:rPr>
                <w:b/>
              </w:rPr>
              <w:t>]</w:t>
            </w:r>
          </w:p>
        </w:tc>
        <w:tc>
          <w:tcPr>
            <w:tcW w:w="3306" w:type="dxa"/>
            <w:gridSpan w:val="3"/>
            <w:shd w:val="clear" w:color="auto" w:fill="auto"/>
          </w:tcPr>
          <w:p w:rsidR="001A730E" w:rsidRPr="00F771B4" w:rsidRDefault="001A730E" w:rsidP="00C3431E">
            <w:pPr>
              <w:spacing w:before="60" w:after="60"/>
            </w:pPr>
            <w:r w:rsidRPr="00F771B4">
              <w:t xml:space="preserve">$ </w:t>
            </w:r>
            <w:r w:rsidR="00144B9B" w:rsidRPr="00F771B4">
              <w:rPr>
                <w:b/>
              </w:rPr>
              <w:t>[</w:t>
            </w:r>
            <w:r w:rsidR="00C3431E" w:rsidRPr="00F771B4">
              <w:rPr>
                <w:i/>
              </w:rPr>
              <w:t>insert amount</w:t>
            </w:r>
            <w:r w:rsidR="00144B9B" w:rsidRPr="00F771B4">
              <w:rPr>
                <w:b/>
              </w:rPr>
              <w:t>]</w:t>
            </w:r>
          </w:p>
        </w:tc>
      </w:tr>
      <w:tr w:rsidR="001A730E" w:rsidRPr="00F771B4" w:rsidTr="00114C61">
        <w:trPr>
          <w:trHeight w:val="144"/>
        </w:trPr>
        <w:tc>
          <w:tcPr>
            <w:tcW w:w="2619" w:type="dxa"/>
            <w:vMerge/>
            <w:shd w:val="clear" w:color="auto" w:fill="auto"/>
          </w:tcPr>
          <w:p w:rsidR="001A730E" w:rsidRPr="00F771B4" w:rsidRDefault="001A730E" w:rsidP="00A43574">
            <w:pPr>
              <w:jc w:val="left"/>
              <w:rPr>
                <w:b/>
              </w:rPr>
            </w:pPr>
          </w:p>
        </w:tc>
        <w:tc>
          <w:tcPr>
            <w:tcW w:w="2751" w:type="dxa"/>
            <w:gridSpan w:val="3"/>
            <w:shd w:val="clear" w:color="auto" w:fill="auto"/>
          </w:tcPr>
          <w:p w:rsidR="001A730E" w:rsidRPr="00F771B4" w:rsidRDefault="00417054" w:rsidP="00C3431E">
            <w:pPr>
              <w:spacing w:before="60" w:after="60"/>
              <w:jc w:val="left"/>
              <w:rPr>
                <w:b/>
              </w:rPr>
            </w:pPr>
            <w:r>
              <w:rPr>
                <w:b/>
              </w:rPr>
              <w:t>[</w:t>
            </w:r>
            <w:r w:rsidR="00852878" w:rsidRPr="00417054">
              <w:rPr>
                <w:b/>
                <w:i/>
              </w:rPr>
              <w:t>Maximum Round Size</w:t>
            </w:r>
            <w:r>
              <w:rPr>
                <w:b/>
              </w:rPr>
              <w:t>]</w:t>
            </w:r>
            <w:r w:rsidR="0056606F">
              <w:rPr>
                <w:rStyle w:val="FootnoteReference"/>
                <w:b/>
              </w:rPr>
              <w:footnoteReference w:id="2"/>
            </w:r>
          </w:p>
        </w:tc>
        <w:tc>
          <w:tcPr>
            <w:tcW w:w="3306" w:type="dxa"/>
            <w:gridSpan w:val="3"/>
            <w:shd w:val="clear" w:color="auto" w:fill="auto"/>
          </w:tcPr>
          <w:p w:rsidR="001A730E" w:rsidRPr="00F771B4" w:rsidRDefault="001A730E" w:rsidP="00C3431E">
            <w:pPr>
              <w:spacing w:before="60" w:after="60"/>
            </w:pPr>
            <w:r w:rsidRPr="00F771B4">
              <w:t xml:space="preserve">$ </w:t>
            </w:r>
            <w:r w:rsidR="00144B9B" w:rsidRPr="00F771B4">
              <w:rPr>
                <w:b/>
              </w:rPr>
              <w:t>[</w:t>
            </w:r>
            <w:r w:rsidR="00C3431E" w:rsidRPr="00417054">
              <w:rPr>
                <w:i/>
              </w:rPr>
              <w:t>insert amount</w:t>
            </w:r>
            <w:r w:rsidR="00144B9B" w:rsidRPr="00F771B4">
              <w:rPr>
                <w:b/>
              </w:rPr>
              <w:t>]</w:t>
            </w:r>
          </w:p>
        </w:tc>
      </w:tr>
      <w:tr w:rsidR="001A730E" w:rsidRPr="00F771B4" w:rsidTr="00114C61">
        <w:trPr>
          <w:trHeight w:val="144"/>
        </w:trPr>
        <w:tc>
          <w:tcPr>
            <w:tcW w:w="2619" w:type="dxa"/>
            <w:vMerge/>
            <w:shd w:val="clear" w:color="auto" w:fill="auto"/>
          </w:tcPr>
          <w:p w:rsidR="001A730E" w:rsidRPr="00F771B4" w:rsidRDefault="001A730E" w:rsidP="00A43574">
            <w:pPr>
              <w:jc w:val="left"/>
              <w:rPr>
                <w:b/>
              </w:rPr>
            </w:pPr>
          </w:p>
        </w:tc>
        <w:tc>
          <w:tcPr>
            <w:tcW w:w="2751" w:type="dxa"/>
            <w:gridSpan w:val="3"/>
            <w:vMerge w:val="restart"/>
            <w:shd w:val="clear" w:color="auto" w:fill="auto"/>
          </w:tcPr>
          <w:p w:rsidR="001A730E" w:rsidRPr="00F771B4" w:rsidRDefault="00417054" w:rsidP="00C3431E">
            <w:pPr>
              <w:spacing w:before="60" w:after="60"/>
              <w:jc w:val="left"/>
              <w:rPr>
                <w:b/>
              </w:rPr>
            </w:pPr>
            <w:r>
              <w:rPr>
                <w:b/>
              </w:rPr>
              <w:t>[</w:t>
            </w:r>
            <w:r w:rsidR="001A730E" w:rsidRPr="00417054">
              <w:rPr>
                <w:b/>
                <w:i/>
              </w:rPr>
              <w:t>Rolling Close</w:t>
            </w:r>
            <w:r>
              <w:rPr>
                <w:b/>
              </w:rPr>
              <w:t>]</w:t>
            </w:r>
            <w:r w:rsidR="0056606F">
              <w:rPr>
                <w:rStyle w:val="FootnoteReference"/>
                <w:b/>
              </w:rPr>
              <w:footnoteReference w:id="3"/>
            </w:r>
          </w:p>
        </w:tc>
        <w:tc>
          <w:tcPr>
            <w:tcW w:w="1313" w:type="dxa"/>
            <w:shd w:val="clear" w:color="auto" w:fill="auto"/>
          </w:tcPr>
          <w:p w:rsidR="001A730E" w:rsidRPr="00F771B4" w:rsidRDefault="001A730E" w:rsidP="00C3431E">
            <w:pPr>
              <w:spacing w:before="60" w:after="60"/>
            </w:pPr>
            <w:r w:rsidRPr="00F771B4">
              <w:rPr>
                <w:b/>
              </w:rPr>
              <w:t>Permitted</w:t>
            </w:r>
            <w:r w:rsidR="00852878" w:rsidRPr="00F771B4">
              <w:rPr>
                <w:b/>
              </w:rPr>
              <w:t>?</w:t>
            </w:r>
          </w:p>
        </w:tc>
        <w:tc>
          <w:tcPr>
            <w:tcW w:w="1993" w:type="dxa"/>
            <w:gridSpan w:val="2"/>
            <w:shd w:val="clear" w:color="auto" w:fill="auto"/>
          </w:tcPr>
          <w:p w:rsidR="001A730E" w:rsidRPr="00F771B4" w:rsidRDefault="00144B9B" w:rsidP="00C3431E">
            <w:pPr>
              <w:spacing w:before="60" w:after="60"/>
            </w:pPr>
            <w:r w:rsidRPr="00F771B4">
              <w:rPr>
                <w:b/>
              </w:rPr>
              <w:t>[</w:t>
            </w:r>
            <w:r w:rsidR="001A730E" w:rsidRPr="00F771B4">
              <w:rPr>
                <w:i/>
              </w:rPr>
              <w:t>Yes / No</w:t>
            </w:r>
            <w:r w:rsidRPr="00F771B4">
              <w:rPr>
                <w:b/>
              </w:rPr>
              <w:t>]</w:t>
            </w:r>
          </w:p>
        </w:tc>
      </w:tr>
      <w:tr w:rsidR="001A730E" w:rsidRPr="00F771B4" w:rsidTr="00114C61">
        <w:trPr>
          <w:trHeight w:val="144"/>
        </w:trPr>
        <w:tc>
          <w:tcPr>
            <w:tcW w:w="2619" w:type="dxa"/>
            <w:vMerge/>
            <w:shd w:val="clear" w:color="auto" w:fill="auto"/>
          </w:tcPr>
          <w:p w:rsidR="001A730E" w:rsidRPr="00F771B4" w:rsidRDefault="001A730E" w:rsidP="00A43574">
            <w:pPr>
              <w:jc w:val="left"/>
              <w:rPr>
                <w:b/>
              </w:rPr>
            </w:pPr>
          </w:p>
        </w:tc>
        <w:tc>
          <w:tcPr>
            <w:tcW w:w="2751" w:type="dxa"/>
            <w:gridSpan w:val="3"/>
            <w:vMerge/>
            <w:shd w:val="clear" w:color="auto" w:fill="auto"/>
          </w:tcPr>
          <w:p w:rsidR="001A730E" w:rsidRPr="00F771B4" w:rsidRDefault="001A730E" w:rsidP="00C3431E">
            <w:pPr>
              <w:spacing w:before="60" w:after="60"/>
            </w:pPr>
          </w:p>
        </w:tc>
        <w:tc>
          <w:tcPr>
            <w:tcW w:w="1313" w:type="dxa"/>
            <w:shd w:val="clear" w:color="auto" w:fill="auto"/>
          </w:tcPr>
          <w:p w:rsidR="001A730E" w:rsidRPr="00F771B4" w:rsidRDefault="001A730E" w:rsidP="00C3431E">
            <w:pPr>
              <w:spacing w:before="60" w:after="60"/>
            </w:pPr>
            <w:r w:rsidRPr="00F771B4">
              <w:rPr>
                <w:b/>
              </w:rPr>
              <w:t>Rolling Close</w:t>
            </w:r>
          </w:p>
        </w:tc>
        <w:tc>
          <w:tcPr>
            <w:tcW w:w="1993" w:type="dxa"/>
            <w:gridSpan w:val="2"/>
            <w:shd w:val="clear" w:color="auto" w:fill="auto"/>
          </w:tcPr>
          <w:p w:rsidR="001A730E" w:rsidRDefault="00897328" w:rsidP="00C3431E">
            <w:pPr>
              <w:spacing w:before="60" w:after="60"/>
              <w:rPr>
                <w:b/>
              </w:rPr>
            </w:pPr>
            <w:r>
              <w:t>U</w:t>
            </w:r>
            <w:r w:rsidRPr="00897328">
              <w:t>p to</w:t>
            </w:r>
            <w:r w:rsidRPr="00F771B4">
              <w:rPr>
                <w:b/>
              </w:rPr>
              <w:t xml:space="preserve"> </w:t>
            </w:r>
            <w:r w:rsidR="00144B9B" w:rsidRPr="00F771B4">
              <w:rPr>
                <w:b/>
              </w:rPr>
              <w:t>[</w:t>
            </w:r>
            <w:r w:rsidR="001A730E" w:rsidRPr="00F771B4">
              <w:rPr>
                <w:i/>
              </w:rPr>
              <w:t>insert date</w:t>
            </w:r>
            <w:r w:rsidR="00144B9B" w:rsidRPr="00F771B4">
              <w:rPr>
                <w:b/>
              </w:rPr>
              <w:t>]</w:t>
            </w:r>
            <w:r>
              <w:rPr>
                <w:b/>
              </w:rPr>
              <w:t xml:space="preserve"> </w:t>
            </w:r>
            <w:r w:rsidR="003342A7">
              <w:t>and</w:t>
            </w:r>
            <w:r w:rsidRPr="00897328">
              <w:t xml:space="preserve"> </w:t>
            </w:r>
          </w:p>
          <w:p w:rsidR="00897328" w:rsidRPr="00897328" w:rsidRDefault="00897328" w:rsidP="00897328">
            <w:pPr>
              <w:spacing w:before="60" w:after="60"/>
              <w:rPr>
                <w:b/>
              </w:rPr>
            </w:pPr>
            <w:r>
              <w:t>$</w:t>
            </w:r>
            <w:r w:rsidRPr="00F771B4">
              <w:rPr>
                <w:b/>
              </w:rPr>
              <w:t>[</w:t>
            </w:r>
            <w:r w:rsidRPr="00417054">
              <w:rPr>
                <w:i/>
              </w:rPr>
              <w:t>insert amount</w:t>
            </w:r>
            <w:r w:rsidRPr="00F771B4">
              <w:rPr>
                <w:b/>
              </w:rPr>
              <w:t>]</w:t>
            </w:r>
          </w:p>
        </w:tc>
      </w:tr>
      <w:tr w:rsidR="00D44829" w:rsidRPr="00F771B4" w:rsidTr="00114C61">
        <w:trPr>
          <w:trHeight w:val="648"/>
        </w:trPr>
        <w:tc>
          <w:tcPr>
            <w:tcW w:w="2619" w:type="dxa"/>
            <w:shd w:val="clear" w:color="auto" w:fill="auto"/>
          </w:tcPr>
          <w:p w:rsidR="00D44829" w:rsidRPr="00F771B4" w:rsidRDefault="00D44829" w:rsidP="00D44829">
            <w:pPr>
              <w:jc w:val="left"/>
              <w:rPr>
                <w:b/>
              </w:rPr>
            </w:pPr>
            <w:r w:rsidRPr="00F771B4">
              <w:rPr>
                <w:b/>
              </w:rPr>
              <w:t>Investors</w:t>
            </w:r>
            <w:r w:rsidR="00C47BB4">
              <w:rPr>
                <w:b/>
              </w:rPr>
              <w:t xml:space="preserve"> and Investment Amounts</w:t>
            </w:r>
          </w:p>
        </w:tc>
        <w:tc>
          <w:tcPr>
            <w:tcW w:w="6057" w:type="dxa"/>
            <w:gridSpan w:val="6"/>
            <w:shd w:val="clear" w:color="auto" w:fill="auto"/>
          </w:tcPr>
          <w:p w:rsidR="00417054" w:rsidRDefault="00D44829" w:rsidP="009F78A7">
            <w:pPr>
              <w:spacing w:after="120"/>
              <w:rPr>
                <w:i/>
              </w:rPr>
            </w:pPr>
            <w:r w:rsidRPr="00F771B4">
              <w:t xml:space="preserve">The persons </w:t>
            </w:r>
            <w:r w:rsidR="00863E8D" w:rsidRPr="00F771B4">
              <w:t xml:space="preserve">identified </w:t>
            </w:r>
            <w:r w:rsidR="009F78A7" w:rsidRPr="00F771B4">
              <w:t>at the end of this Term Sheet</w:t>
            </w:r>
            <w:r w:rsidR="00C47BB4">
              <w:t xml:space="preserve">, </w:t>
            </w:r>
            <w:r w:rsidR="005F3356">
              <w:t xml:space="preserve">and </w:t>
            </w:r>
            <w:r w:rsidR="00C47BB4">
              <w:t>the Investment Amounts set out beside their names</w:t>
            </w:r>
            <w:r w:rsidR="00F80545">
              <w:rPr>
                <w:i/>
              </w:rPr>
              <w:t>.</w:t>
            </w:r>
          </w:p>
          <w:p w:rsidR="00417054" w:rsidRPr="00417054" w:rsidRDefault="00417054" w:rsidP="009F78A7">
            <w:pPr>
              <w:spacing w:after="120"/>
              <w:rPr>
                <w:b/>
              </w:rPr>
            </w:pPr>
            <w:r>
              <w:rPr>
                <w:b/>
              </w:rPr>
              <w:t>[</w:t>
            </w:r>
            <w:r>
              <w:rPr>
                <w:i/>
              </w:rPr>
              <w:t>together with other investors identified by the Company</w:t>
            </w:r>
            <w:r>
              <w:rPr>
                <w:b/>
              </w:rPr>
              <w:t>]</w:t>
            </w:r>
          </w:p>
          <w:p w:rsidR="000A2542" w:rsidRPr="00F771B4" w:rsidRDefault="00144B9B" w:rsidP="009F78A7">
            <w:pPr>
              <w:spacing w:after="120"/>
              <w:rPr>
                <w:i/>
              </w:rPr>
            </w:pPr>
            <w:r w:rsidRPr="00F771B4">
              <w:rPr>
                <w:b/>
              </w:rPr>
              <w:t>[</w:t>
            </w:r>
            <w:r w:rsidR="00852878" w:rsidRPr="00F771B4">
              <w:rPr>
                <w:i/>
              </w:rPr>
              <w:t>together with</w:t>
            </w:r>
            <w:r w:rsidR="00366476" w:rsidRPr="00F771B4">
              <w:rPr>
                <w:i/>
              </w:rPr>
              <w:t xml:space="preserve"> anyone else agreed by the Investors and Company (both acting reasonably)</w:t>
            </w:r>
            <w:r w:rsidRPr="00497570">
              <w:rPr>
                <w:b/>
              </w:rPr>
              <w:t>]</w:t>
            </w:r>
          </w:p>
        </w:tc>
      </w:tr>
      <w:tr w:rsidR="00D44829" w:rsidRPr="00F771B4" w:rsidTr="00114C61">
        <w:tc>
          <w:tcPr>
            <w:tcW w:w="2619" w:type="dxa"/>
            <w:shd w:val="clear" w:color="auto" w:fill="auto"/>
          </w:tcPr>
          <w:p w:rsidR="00D44829" w:rsidRPr="00F771B4" w:rsidRDefault="00D44829" w:rsidP="00D44829">
            <w:pPr>
              <w:jc w:val="left"/>
              <w:rPr>
                <w:b/>
              </w:rPr>
            </w:pPr>
            <w:r w:rsidRPr="00F771B4">
              <w:rPr>
                <w:b/>
              </w:rPr>
              <w:t>Pre-Money Valuation</w:t>
            </w:r>
          </w:p>
          <w:p w:rsidR="00D44829" w:rsidRPr="00F771B4" w:rsidRDefault="00D44829" w:rsidP="00D44829">
            <w:pPr>
              <w:jc w:val="left"/>
              <w:rPr>
                <w:b/>
              </w:rPr>
            </w:pPr>
          </w:p>
          <w:p w:rsidR="00D44829" w:rsidRPr="00F771B4" w:rsidRDefault="00D44829" w:rsidP="00D44829">
            <w:pPr>
              <w:jc w:val="left"/>
              <w:rPr>
                <w:sz w:val="18"/>
                <w:szCs w:val="18"/>
              </w:rPr>
            </w:pPr>
            <w:r w:rsidRPr="00F771B4">
              <w:rPr>
                <w:sz w:val="18"/>
                <w:szCs w:val="18"/>
              </w:rPr>
              <w:t>(</w:t>
            </w:r>
            <w:r w:rsidRPr="00F771B4">
              <w:rPr>
                <w:i/>
                <w:sz w:val="18"/>
                <w:szCs w:val="18"/>
              </w:rPr>
              <w:t>agreed Company value before Investment</w:t>
            </w:r>
            <w:r w:rsidRPr="00F771B4">
              <w:rPr>
                <w:sz w:val="18"/>
                <w:szCs w:val="18"/>
              </w:rPr>
              <w:t>)</w:t>
            </w:r>
          </w:p>
          <w:p w:rsidR="00D44829" w:rsidRPr="00F771B4" w:rsidRDefault="00D44829" w:rsidP="00D44829">
            <w:pPr>
              <w:jc w:val="left"/>
            </w:pPr>
          </w:p>
        </w:tc>
        <w:tc>
          <w:tcPr>
            <w:tcW w:w="6057" w:type="dxa"/>
            <w:gridSpan w:val="6"/>
            <w:shd w:val="clear" w:color="auto" w:fill="auto"/>
          </w:tcPr>
          <w:p w:rsidR="00D44829" w:rsidRPr="00F771B4" w:rsidRDefault="00D44829" w:rsidP="00D44829">
            <w:r w:rsidRPr="00F771B4">
              <w:t>$</w:t>
            </w:r>
            <w:r w:rsidR="00863E8D" w:rsidRPr="00F771B4">
              <w:t xml:space="preserve"> </w:t>
            </w:r>
            <w:r w:rsidR="00144B9B" w:rsidRPr="00F771B4">
              <w:rPr>
                <w:b/>
              </w:rPr>
              <w:t>[</w:t>
            </w:r>
            <w:r w:rsidR="00C3431E" w:rsidRPr="00F771B4">
              <w:rPr>
                <w:i/>
              </w:rPr>
              <w:t>insert amount</w:t>
            </w:r>
            <w:r w:rsidR="00144B9B" w:rsidRPr="00F771B4">
              <w:rPr>
                <w:b/>
              </w:rPr>
              <w:t>]</w:t>
            </w:r>
          </w:p>
          <w:p w:rsidR="00D44829" w:rsidRPr="00F771B4" w:rsidRDefault="00D44829" w:rsidP="00D44829"/>
        </w:tc>
      </w:tr>
      <w:tr w:rsidR="00D44829" w:rsidRPr="00F771B4" w:rsidTr="00114C61">
        <w:tc>
          <w:tcPr>
            <w:tcW w:w="2619" w:type="dxa"/>
            <w:shd w:val="clear" w:color="auto" w:fill="auto"/>
          </w:tcPr>
          <w:p w:rsidR="00D44829" w:rsidRPr="00F771B4" w:rsidRDefault="00D44829" w:rsidP="00D44829">
            <w:pPr>
              <w:jc w:val="left"/>
              <w:rPr>
                <w:b/>
              </w:rPr>
            </w:pPr>
            <w:r w:rsidRPr="00F771B4">
              <w:rPr>
                <w:b/>
              </w:rPr>
              <w:t>Issue Price</w:t>
            </w:r>
          </w:p>
          <w:p w:rsidR="00D44829" w:rsidRPr="00F771B4" w:rsidRDefault="00D44829" w:rsidP="00D44829">
            <w:pPr>
              <w:jc w:val="left"/>
              <w:rPr>
                <w:b/>
              </w:rPr>
            </w:pPr>
          </w:p>
          <w:p w:rsidR="00D44829" w:rsidRPr="00F771B4" w:rsidRDefault="00D44829" w:rsidP="00D44829">
            <w:pPr>
              <w:jc w:val="left"/>
              <w:rPr>
                <w:sz w:val="18"/>
                <w:szCs w:val="18"/>
              </w:rPr>
            </w:pPr>
            <w:r w:rsidRPr="00F771B4">
              <w:rPr>
                <w:sz w:val="18"/>
                <w:szCs w:val="18"/>
              </w:rPr>
              <w:t>(</w:t>
            </w:r>
            <w:r w:rsidRPr="00F771B4">
              <w:rPr>
                <w:i/>
                <w:sz w:val="18"/>
                <w:szCs w:val="18"/>
              </w:rPr>
              <w:t>price per Share payable by Investors</w:t>
            </w:r>
            <w:r w:rsidRPr="00F771B4">
              <w:rPr>
                <w:sz w:val="18"/>
                <w:szCs w:val="18"/>
              </w:rPr>
              <w:t>)</w:t>
            </w:r>
          </w:p>
        </w:tc>
        <w:tc>
          <w:tcPr>
            <w:tcW w:w="6057" w:type="dxa"/>
            <w:gridSpan w:val="6"/>
            <w:shd w:val="clear" w:color="auto" w:fill="auto"/>
          </w:tcPr>
          <w:p w:rsidR="00D44829" w:rsidRPr="00F771B4" w:rsidRDefault="00D44829" w:rsidP="00D44829">
            <w:r w:rsidRPr="00F771B4">
              <w:t xml:space="preserve">The Issue Price will be calculated by dividing the Pre-Money Valuation by the total number of shares, options, </w:t>
            </w:r>
            <w:r w:rsidR="003342A7">
              <w:t xml:space="preserve">convertible </w:t>
            </w:r>
            <w:r w:rsidR="00C94826">
              <w:t>loans</w:t>
            </w:r>
            <w:r w:rsidR="003342A7">
              <w:t xml:space="preserve">, </w:t>
            </w:r>
            <w:r w:rsidRPr="00F771B4">
              <w:t>warrants, and other securities currently issued or otherwise reserved in the Company (</w:t>
            </w:r>
            <w:r w:rsidR="003263BA" w:rsidRPr="00F771B4">
              <w:rPr>
                <w:b/>
              </w:rPr>
              <w:t xml:space="preserve">a </w:t>
            </w:r>
            <w:r w:rsidRPr="00F771B4">
              <w:rPr>
                <w:b/>
              </w:rPr>
              <w:t>fully-diluted basis</w:t>
            </w:r>
            <w:r w:rsidRPr="00F771B4">
              <w:t xml:space="preserve">), </w:t>
            </w:r>
            <w:r w:rsidR="00144B9B" w:rsidRPr="00F771B4">
              <w:rPr>
                <w:b/>
              </w:rPr>
              <w:t>[</w:t>
            </w:r>
            <w:r w:rsidRPr="00F771B4">
              <w:rPr>
                <w:i/>
              </w:rPr>
              <w:t>including/excluding</w:t>
            </w:r>
            <w:r w:rsidR="00144B9B" w:rsidRPr="00F771B4">
              <w:rPr>
                <w:b/>
              </w:rPr>
              <w:t>]</w:t>
            </w:r>
            <w:r w:rsidR="003342A7">
              <w:rPr>
                <w:rStyle w:val="FootnoteReference"/>
                <w:b/>
              </w:rPr>
              <w:footnoteReference w:id="4"/>
            </w:r>
            <w:r w:rsidRPr="00F771B4">
              <w:t xml:space="preserve"> any allocation for the Share Scheme</w:t>
            </w:r>
            <w:r w:rsidR="00B67523">
              <w:t xml:space="preserve"> (aka ESOP Pool)</w:t>
            </w:r>
            <w:r w:rsidRPr="00F771B4">
              <w:t>.</w:t>
            </w:r>
          </w:p>
          <w:p w:rsidR="00D44829" w:rsidRPr="00F771B4" w:rsidRDefault="00D44829" w:rsidP="00D44829"/>
        </w:tc>
      </w:tr>
      <w:tr w:rsidR="00D44829" w:rsidRPr="00F771B4" w:rsidTr="00114C61">
        <w:tc>
          <w:tcPr>
            <w:tcW w:w="2619" w:type="dxa"/>
            <w:shd w:val="clear" w:color="auto" w:fill="auto"/>
          </w:tcPr>
          <w:p w:rsidR="00D44829" w:rsidRPr="00F771B4" w:rsidRDefault="00D44829" w:rsidP="00D44829">
            <w:pPr>
              <w:jc w:val="left"/>
              <w:rPr>
                <w:b/>
              </w:rPr>
            </w:pPr>
            <w:r w:rsidRPr="00F771B4">
              <w:rPr>
                <w:b/>
              </w:rPr>
              <w:t>Shares</w:t>
            </w:r>
          </w:p>
          <w:p w:rsidR="00D44829" w:rsidRPr="00F771B4" w:rsidRDefault="00D44829" w:rsidP="00D44829">
            <w:pPr>
              <w:jc w:val="left"/>
              <w:rPr>
                <w:b/>
              </w:rPr>
            </w:pPr>
          </w:p>
          <w:p w:rsidR="00D44829" w:rsidRPr="00F771B4" w:rsidRDefault="00D44829" w:rsidP="00D44829">
            <w:pPr>
              <w:jc w:val="left"/>
              <w:rPr>
                <w:sz w:val="18"/>
                <w:szCs w:val="18"/>
              </w:rPr>
            </w:pPr>
            <w:r w:rsidRPr="00F771B4">
              <w:rPr>
                <w:sz w:val="18"/>
                <w:szCs w:val="18"/>
              </w:rPr>
              <w:t>(</w:t>
            </w:r>
            <w:r w:rsidRPr="00F771B4">
              <w:rPr>
                <w:i/>
                <w:sz w:val="18"/>
                <w:szCs w:val="18"/>
              </w:rPr>
              <w:t>type of shares being issued to Investors</w:t>
            </w:r>
            <w:r w:rsidRPr="00F771B4">
              <w:rPr>
                <w:sz w:val="18"/>
                <w:szCs w:val="18"/>
              </w:rPr>
              <w:t>)</w:t>
            </w:r>
          </w:p>
        </w:tc>
        <w:tc>
          <w:tcPr>
            <w:tcW w:w="6057" w:type="dxa"/>
            <w:gridSpan w:val="6"/>
            <w:shd w:val="clear" w:color="auto" w:fill="auto"/>
          </w:tcPr>
          <w:p w:rsidR="00D44829" w:rsidRPr="00F771B4" w:rsidRDefault="00144B9B" w:rsidP="00D44829">
            <w:pPr>
              <w:rPr>
                <w:i/>
              </w:rPr>
            </w:pPr>
            <w:r w:rsidRPr="001406BD">
              <w:rPr>
                <w:b/>
              </w:rPr>
              <w:t>[</w:t>
            </w:r>
            <w:r w:rsidR="001406BD">
              <w:rPr>
                <w:i/>
              </w:rPr>
              <w:t>Ordinary Shares</w:t>
            </w:r>
            <w:r w:rsidRPr="001406BD">
              <w:rPr>
                <w:b/>
              </w:rPr>
              <w:t>]</w:t>
            </w:r>
          </w:p>
          <w:p w:rsidR="004347E5" w:rsidRPr="00F771B4" w:rsidRDefault="00144B9B" w:rsidP="004347E5">
            <w:r w:rsidRPr="00F771B4">
              <w:rPr>
                <w:b/>
              </w:rPr>
              <w:t>[</w:t>
            </w:r>
            <w:r w:rsidR="004347E5" w:rsidRPr="002E4846">
              <w:t>or</w:t>
            </w:r>
            <w:r w:rsidRPr="00F771B4">
              <w:rPr>
                <w:b/>
              </w:rPr>
              <w:t>]</w:t>
            </w:r>
          </w:p>
          <w:p w:rsidR="00D44829" w:rsidRPr="00F771B4" w:rsidRDefault="00144B9B" w:rsidP="002B028C">
            <w:pPr>
              <w:rPr>
                <w:i/>
              </w:rPr>
            </w:pPr>
            <w:r w:rsidRPr="001406BD">
              <w:rPr>
                <w:b/>
              </w:rPr>
              <w:t>[</w:t>
            </w:r>
            <w:r w:rsidR="00D44829" w:rsidRPr="002B028C">
              <w:rPr>
                <w:i/>
              </w:rPr>
              <w:t>Preference Shares, being non-participati</w:t>
            </w:r>
            <w:r w:rsidR="0033344F" w:rsidRPr="002B028C">
              <w:rPr>
                <w:i/>
              </w:rPr>
              <w:t xml:space="preserve">ng </w:t>
            </w:r>
            <w:r w:rsidR="002B028C" w:rsidRPr="002B028C">
              <w:rPr>
                <w:i/>
              </w:rPr>
              <w:t xml:space="preserve">1x </w:t>
            </w:r>
            <w:r w:rsidR="0033344F" w:rsidRPr="002B028C">
              <w:rPr>
                <w:i/>
              </w:rPr>
              <w:t>preference shares</w:t>
            </w:r>
            <w:r w:rsidR="00366476" w:rsidRPr="002B028C">
              <w:rPr>
                <w:i/>
              </w:rPr>
              <w:t>.</w:t>
            </w:r>
            <w:r w:rsidRPr="001406BD">
              <w:rPr>
                <w:b/>
              </w:rPr>
              <w:t>]</w:t>
            </w:r>
            <w:r w:rsidR="002B028C" w:rsidRPr="001406BD">
              <w:rPr>
                <w:rStyle w:val="FootnoteReference"/>
                <w:b/>
              </w:rPr>
              <w:footnoteReference w:id="5"/>
            </w:r>
          </w:p>
          <w:p w:rsidR="00D44829" w:rsidRPr="00F771B4" w:rsidRDefault="00D44829" w:rsidP="00D44829"/>
        </w:tc>
      </w:tr>
      <w:tr w:rsidR="00A43574" w:rsidRPr="00F771B4" w:rsidTr="00114C61">
        <w:trPr>
          <w:trHeight w:val="80"/>
        </w:trPr>
        <w:tc>
          <w:tcPr>
            <w:tcW w:w="2619" w:type="dxa"/>
            <w:shd w:val="clear" w:color="auto" w:fill="auto"/>
          </w:tcPr>
          <w:p w:rsidR="00A43574" w:rsidRPr="00CC24B1" w:rsidRDefault="004B5EF5" w:rsidP="00D44829">
            <w:pPr>
              <w:jc w:val="left"/>
              <w:rPr>
                <w:b/>
                <w:i/>
              </w:rPr>
            </w:pPr>
            <w:r w:rsidRPr="00CC24B1">
              <w:rPr>
                <w:b/>
                <w:i/>
              </w:rPr>
              <w:t>[</w:t>
            </w:r>
            <w:r w:rsidR="0049445C">
              <w:rPr>
                <w:b/>
                <w:i/>
              </w:rPr>
              <w:t>Share Scheme</w:t>
            </w:r>
            <w:r w:rsidR="00B67523">
              <w:rPr>
                <w:b/>
                <w:i/>
              </w:rPr>
              <w:t xml:space="preserve"> (aka ESOP Pool)</w:t>
            </w:r>
            <w:r w:rsidRPr="00CC24B1">
              <w:rPr>
                <w:b/>
                <w:i/>
              </w:rPr>
              <w:t>]</w:t>
            </w:r>
          </w:p>
        </w:tc>
        <w:tc>
          <w:tcPr>
            <w:tcW w:w="2751" w:type="dxa"/>
            <w:gridSpan w:val="3"/>
            <w:shd w:val="clear" w:color="auto" w:fill="auto"/>
          </w:tcPr>
          <w:p w:rsidR="00114C61" w:rsidRDefault="00114C61" w:rsidP="00D44829">
            <w:pPr>
              <w:rPr>
                <w:b/>
                <w:i/>
              </w:rPr>
            </w:pPr>
            <w:r>
              <w:rPr>
                <w:b/>
                <w:i/>
              </w:rPr>
              <w:t>[Number of Shares]</w:t>
            </w:r>
          </w:p>
          <w:p w:rsidR="00114C61" w:rsidRDefault="00114C61" w:rsidP="00D44829">
            <w:pPr>
              <w:rPr>
                <w:b/>
                <w:i/>
              </w:rPr>
            </w:pPr>
            <w:r>
              <w:rPr>
                <w:b/>
                <w:i/>
              </w:rPr>
              <w:t>[or]</w:t>
            </w:r>
          </w:p>
          <w:p w:rsidR="00A43574" w:rsidRPr="00CC24B1" w:rsidRDefault="00114C61" w:rsidP="00D44829">
            <w:pPr>
              <w:rPr>
                <w:b/>
                <w:i/>
              </w:rPr>
            </w:pPr>
            <w:r>
              <w:rPr>
                <w:b/>
                <w:i/>
              </w:rPr>
              <w:t>[</w:t>
            </w:r>
            <w:r w:rsidR="00A43574" w:rsidRPr="00CC24B1">
              <w:rPr>
                <w:b/>
                <w:i/>
              </w:rPr>
              <w:t>Percentage</w:t>
            </w:r>
            <w:r w:rsidR="00487461">
              <w:rPr>
                <w:b/>
                <w:i/>
              </w:rPr>
              <w:t xml:space="preserve"> of Shares</w:t>
            </w:r>
            <w:r>
              <w:rPr>
                <w:b/>
                <w:i/>
              </w:rPr>
              <w:t>]</w:t>
            </w:r>
          </w:p>
        </w:tc>
        <w:tc>
          <w:tcPr>
            <w:tcW w:w="3306" w:type="dxa"/>
            <w:gridSpan w:val="3"/>
            <w:shd w:val="clear" w:color="auto" w:fill="auto"/>
          </w:tcPr>
          <w:p w:rsidR="00514350" w:rsidRDefault="00514350" w:rsidP="00A43574">
            <w:pPr>
              <w:rPr>
                <w:b/>
                <w:i/>
              </w:rPr>
            </w:pPr>
            <w:r>
              <w:rPr>
                <w:b/>
                <w:i/>
              </w:rPr>
              <w:t>[</w:t>
            </w:r>
            <w:r w:rsidR="00114C61">
              <w:rPr>
                <w:b/>
                <w:i/>
              </w:rPr>
              <w:t>[</w:t>
            </w:r>
            <w:r w:rsidR="00114C61" w:rsidRPr="00114C61">
              <w:rPr>
                <w:i/>
              </w:rPr>
              <w:t>insert number</w:t>
            </w:r>
            <w:r w:rsidR="00114C61">
              <w:rPr>
                <w:b/>
                <w:i/>
              </w:rPr>
              <w:t>]</w:t>
            </w:r>
            <w:r>
              <w:rPr>
                <w:b/>
                <w:i/>
              </w:rPr>
              <w:t xml:space="preserve"> </w:t>
            </w:r>
            <w:r>
              <w:rPr>
                <w:i/>
              </w:rPr>
              <w:t xml:space="preserve">will be reserved </w:t>
            </w:r>
            <w:r w:rsidRPr="00CC24B1">
              <w:rPr>
                <w:i/>
              </w:rPr>
              <w:t xml:space="preserve">for </w:t>
            </w:r>
            <w:r>
              <w:rPr>
                <w:i/>
              </w:rPr>
              <w:t>a</w:t>
            </w:r>
            <w:r w:rsidRPr="00CC24B1">
              <w:rPr>
                <w:i/>
              </w:rPr>
              <w:t xml:space="preserve"> </w:t>
            </w:r>
            <w:r w:rsidR="0049445C">
              <w:rPr>
                <w:i/>
              </w:rPr>
              <w:t>Share Scheme</w:t>
            </w:r>
            <w:r w:rsidRPr="00514350">
              <w:rPr>
                <w:b/>
                <w:i/>
              </w:rPr>
              <w:t>]</w:t>
            </w:r>
          </w:p>
          <w:p w:rsidR="00514350" w:rsidRDefault="00114C61" w:rsidP="00A43574">
            <w:pPr>
              <w:rPr>
                <w:b/>
                <w:i/>
              </w:rPr>
            </w:pPr>
            <w:r>
              <w:rPr>
                <w:b/>
                <w:i/>
              </w:rPr>
              <w:t>[</w:t>
            </w:r>
            <w:r w:rsidRPr="00114C61">
              <w:rPr>
                <w:i/>
              </w:rPr>
              <w:t>or</w:t>
            </w:r>
            <w:r>
              <w:rPr>
                <w:b/>
                <w:i/>
              </w:rPr>
              <w:t>]</w:t>
            </w:r>
          </w:p>
          <w:p w:rsidR="00A43574" w:rsidRPr="00CC24B1" w:rsidRDefault="00514350" w:rsidP="00A43574">
            <w:pPr>
              <w:rPr>
                <w:i/>
              </w:rPr>
            </w:pPr>
            <w:r>
              <w:rPr>
                <w:b/>
                <w:i/>
              </w:rPr>
              <w:t>[</w:t>
            </w:r>
            <w:r w:rsidR="00144B9B" w:rsidRPr="00CC24B1">
              <w:rPr>
                <w:b/>
                <w:i/>
              </w:rPr>
              <w:t>[</w:t>
            </w:r>
            <w:r w:rsidR="00144B9B" w:rsidRPr="00CC24B1">
              <w:rPr>
                <w:i/>
              </w:rPr>
              <w:t xml:space="preserve">insert </w:t>
            </w:r>
            <w:r w:rsidR="00A43574" w:rsidRPr="00CC24B1">
              <w:rPr>
                <w:i/>
              </w:rPr>
              <w:t xml:space="preserve">% of </w:t>
            </w:r>
            <w:r w:rsidR="00A0339A">
              <w:rPr>
                <w:i/>
              </w:rPr>
              <w:t>the</w:t>
            </w:r>
            <w:r w:rsidR="00A0339A" w:rsidRPr="00114C61">
              <w:rPr>
                <w:b/>
                <w:i/>
              </w:rPr>
              <w:t>]</w:t>
            </w:r>
            <w:r w:rsidR="00A0339A">
              <w:rPr>
                <w:i/>
              </w:rPr>
              <w:t xml:space="preserve"> </w:t>
            </w:r>
            <w:r>
              <w:rPr>
                <w:i/>
              </w:rPr>
              <w:t xml:space="preserve">issued </w:t>
            </w:r>
            <w:r w:rsidR="00A43574" w:rsidRPr="00CC24B1">
              <w:rPr>
                <w:i/>
              </w:rPr>
              <w:t>shares in the Company</w:t>
            </w:r>
            <w:r w:rsidR="00A0339A">
              <w:rPr>
                <w:i/>
              </w:rPr>
              <w:t xml:space="preserve"> </w:t>
            </w:r>
            <w:r w:rsidRPr="00514350">
              <w:rPr>
                <w:b/>
                <w:i/>
              </w:rPr>
              <w:t>[</w:t>
            </w:r>
            <w:r w:rsidR="00B34BAA">
              <w:rPr>
                <w:i/>
              </w:rPr>
              <w:t>from time to time</w:t>
            </w:r>
            <w:proofErr w:type="gramStart"/>
            <w:r w:rsidRPr="00514350">
              <w:rPr>
                <w:b/>
                <w:i/>
              </w:rPr>
              <w:t>][</w:t>
            </w:r>
            <w:proofErr w:type="gramEnd"/>
            <w:r>
              <w:rPr>
                <w:i/>
              </w:rPr>
              <w:t>or</w:t>
            </w:r>
            <w:r w:rsidRPr="00514350">
              <w:rPr>
                <w:b/>
                <w:i/>
              </w:rPr>
              <w:t>][</w:t>
            </w:r>
            <w:r>
              <w:rPr>
                <w:i/>
              </w:rPr>
              <w:t>post-investment</w:t>
            </w:r>
            <w:r w:rsidRPr="00514350">
              <w:rPr>
                <w:b/>
                <w:i/>
              </w:rPr>
              <w:t>]</w:t>
            </w:r>
            <w:r>
              <w:rPr>
                <w:i/>
              </w:rPr>
              <w:t xml:space="preserve"> </w:t>
            </w:r>
            <w:r w:rsidR="00A0339A">
              <w:rPr>
                <w:i/>
              </w:rPr>
              <w:t xml:space="preserve">will be reserved </w:t>
            </w:r>
            <w:r w:rsidR="00A43574" w:rsidRPr="00CC24B1">
              <w:rPr>
                <w:i/>
              </w:rPr>
              <w:t xml:space="preserve">for </w:t>
            </w:r>
            <w:r w:rsidR="00A0339A">
              <w:rPr>
                <w:i/>
              </w:rPr>
              <w:t>a</w:t>
            </w:r>
            <w:r w:rsidR="00A43574" w:rsidRPr="00CC24B1">
              <w:rPr>
                <w:i/>
              </w:rPr>
              <w:t xml:space="preserve"> </w:t>
            </w:r>
            <w:r w:rsidR="0049445C">
              <w:rPr>
                <w:i/>
              </w:rPr>
              <w:t>Share Scheme</w:t>
            </w:r>
            <w:r>
              <w:rPr>
                <w:i/>
              </w:rPr>
              <w:t xml:space="preserve"> (excluding any shares issued as part of a </w:t>
            </w:r>
            <w:r w:rsidR="0049445C">
              <w:rPr>
                <w:i/>
              </w:rPr>
              <w:t>Share Scheme</w:t>
            </w:r>
            <w:r>
              <w:rPr>
                <w:i/>
              </w:rPr>
              <w:t>)</w:t>
            </w:r>
            <w:r w:rsidR="002F58D3" w:rsidRPr="00CC24B1">
              <w:rPr>
                <w:i/>
              </w:rPr>
              <w:t>.</w:t>
            </w:r>
            <w:r w:rsidRPr="00514350">
              <w:rPr>
                <w:b/>
                <w:i/>
              </w:rPr>
              <w:t>]</w:t>
            </w:r>
          </w:p>
          <w:p w:rsidR="002F58D3" w:rsidRPr="00CC24B1" w:rsidRDefault="002F58D3" w:rsidP="00A43574">
            <w:pPr>
              <w:rPr>
                <w:i/>
              </w:rPr>
            </w:pPr>
          </w:p>
        </w:tc>
      </w:tr>
      <w:tr w:rsidR="002E4846" w:rsidRPr="00F771B4" w:rsidTr="008168C5">
        <w:trPr>
          <w:trHeight w:val="80"/>
        </w:trPr>
        <w:tc>
          <w:tcPr>
            <w:tcW w:w="2619" w:type="dxa"/>
            <w:shd w:val="clear" w:color="auto" w:fill="auto"/>
          </w:tcPr>
          <w:p w:rsidR="002E4846" w:rsidRPr="0033344F" w:rsidRDefault="002E4846" w:rsidP="002E4846">
            <w:pPr>
              <w:jc w:val="left"/>
              <w:rPr>
                <w:b/>
              </w:rPr>
            </w:pPr>
            <w:r w:rsidRPr="00F771B4">
              <w:rPr>
                <w:b/>
              </w:rPr>
              <w:t>Capitalisation Table</w:t>
            </w:r>
          </w:p>
        </w:tc>
        <w:tc>
          <w:tcPr>
            <w:tcW w:w="6057" w:type="dxa"/>
            <w:gridSpan w:val="6"/>
            <w:shd w:val="clear" w:color="auto" w:fill="auto"/>
          </w:tcPr>
          <w:p w:rsidR="002E4846" w:rsidRPr="00F771B4" w:rsidRDefault="002E4846" w:rsidP="002E4846">
            <w:r w:rsidRPr="00F771B4">
              <w:t>The current Capitalisation Table for the Company is set out in Appendix 2.</w:t>
            </w:r>
          </w:p>
          <w:p w:rsidR="002E4846" w:rsidRPr="00F771B4" w:rsidRDefault="002E4846" w:rsidP="002E4846"/>
          <w:p w:rsidR="002E4846" w:rsidRPr="00F771B4" w:rsidRDefault="002E4846" w:rsidP="002E4846">
            <w:r>
              <w:t xml:space="preserve">It shows </w:t>
            </w:r>
            <w:r w:rsidRPr="00F771B4">
              <w:t xml:space="preserve">all shares, options, </w:t>
            </w:r>
            <w:r>
              <w:t xml:space="preserve">convertible loans, </w:t>
            </w:r>
            <w:r w:rsidRPr="00F771B4">
              <w:t>warrants, and other securities currently on issue or otherwise reserved in the Company before the</w:t>
            </w:r>
            <w:r>
              <w:t xml:space="preserve"> I</w:t>
            </w:r>
            <w:r w:rsidRPr="00F771B4">
              <w:t>nvestment.</w:t>
            </w:r>
            <w:r>
              <w:rPr>
                <w:rStyle w:val="FootnoteReference"/>
              </w:rPr>
              <w:footnoteReference w:id="6"/>
            </w:r>
          </w:p>
          <w:p w:rsidR="002E4846" w:rsidRDefault="002E4846" w:rsidP="002E4846">
            <w:pPr>
              <w:rPr>
                <w:b/>
                <w:i/>
              </w:rPr>
            </w:pPr>
          </w:p>
        </w:tc>
      </w:tr>
      <w:tr w:rsidR="002E4846" w:rsidRPr="001406BD" w:rsidTr="001406BD">
        <w:tc>
          <w:tcPr>
            <w:tcW w:w="8676" w:type="dxa"/>
            <w:gridSpan w:val="7"/>
            <w:shd w:val="clear" w:color="auto" w:fill="BFBFBF" w:themeFill="background1" w:themeFillShade="BF"/>
          </w:tcPr>
          <w:p w:rsidR="002E4846" w:rsidRDefault="002E4846" w:rsidP="002E4846">
            <w:pPr>
              <w:jc w:val="center"/>
              <w:rPr>
                <w:b/>
              </w:rPr>
            </w:pPr>
            <w:r w:rsidRPr="001406BD">
              <w:rPr>
                <w:b/>
              </w:rPr>
              <w:t xml:space="preserve">Investment </w:t>
            </w:r>
            <w:r>
              <w:rPr>
                <w:b/>
              </w:rPr>
              <w:t xml:space="preserve">terms and </w:t>
            </w:r>
            <w:r w:rsidRPr="001406BD">
              <w:rPr>
                <w:b/>
              </w:rPr>
              <w:t>conditions</w:t>
            </w:r>
          </w:p>
          <w:p w:rsidR="002E4846" w:rsidRPr="001406BD" w:rsidRDefault="002E4846" w:rsidP="002E4846">
            <w:pPr>
              <w:jc w:val="center"/>
              <w:rPr>
                <w:b/>
              </w:rPr>
            </w:pPr>
          </w:p>
        </w:tc>
      </w:tr>
      <w:tr w:rsidR="002E4846" w:rsidRPr="00F771B4" w:rsidTr="00114C61">
        <w:tc>
          <w:tcPr>
            <w:tcW w:w="2619" w:type="dxa"/>
            <w:shd w:val="clear" w:color="auto" w:fill="auto"/>
          </w:tcPr>
          <w:p w:rsidR="002E4846" w:rsidRPr="00F771B4" w:rsidRDefault="002E4846" w:rsidP="002E4846">
            <w:pPr>
              <w:jc w:val="left"/>
              <w:rPr>
                <w:b/>
              </w:rPr>
            </w:pPr>
            <w:r>
              <w:rPr>
                <w:b/>
              </w:rPr>
              <w:t>Conditions</w:t>
            </w:r>
          </w:p>
          <w:p w:rsidR="002E4846" w:rsidRPr="001406BD" w:rsidRDefault="002E4846" w:rsidP="002E4846">
            <w:pPr>
              <w:jc w:val="left"/>
            </w:pPr>
            <w:r w:rsidRPr="001406BD">
              <w:t xml:space="preserve">(for </w:t>
            </w:r>
            <w:r>
              <w:t>the Company’s</w:t>
            </w:r>
            <w:r w:rsidRPr="001406BD">
              <w:t xml:space="preserve"> benefit)</w:t>
            </w:r>
          </w:p>
          <w:p w:rsidR="002E4846" w:rsidRDefault="002E4846" w:rsidP="002E4846">
            <w:pPr>
              <w:jc w:val="left"/>
              <w:rPr>
                <w:b/>
              </w:rPr>
            </w:pPr>
          </w:p>
        </w:tc>
        <w:tc>
          <w:tcPr>
            <w:tcW w:w="6057" w:type="dxa"/>
            <w:gridSpan w:val="6"/>
            <w:shd w:val="clear" w:color="auto" w:fill="auto"/>
          </w:tcPr>
          <w:p w:rsidR="002E4846" w:rsidRDefault="002E4846" w:rsidP="002E4846">
            <w:pPr>
              <w:numPr>
                <w:ilvl w:val="0"/>
                <w:numId w:val="26"/>
              </w:numPr>
            </w:pPr>
            <w:r>
              <w:t>In respect to each Investor, the Company being satisfied that an exclusion applies to the disclosure requirements of Part 3 of the Financial Markets Conduct Act 2013 in relation to the issuance of Shares to that investor.</w:t>
            </w:r>
          </w:p>
          <w:p w:rsidR="002E4846" w:rsidRPr="00F771B4" w:rsidRDefault="002E4846" w:rsidP="002E4846">
            <w:r>
              <w:t xml:space="preserve"> </w:t>
            </w:r>
          </w:p>
        </w:tc>
      </w:tr>
      <w:tr w:rsidR="002E4846" w:rsidRPr="00F771B4" w:rsidTr="00114C61">
        <w:tc>
          <w:tcPr>
            <w:tcW w:w="2619" w:type="dxa"/>
            <w:shd w:val="clear" w:color="auto" w:fill="auto"/>
          </w:tcPr>
          <w:p w:rsidR="002E4846" w:rsidRPr="00F771B4" w:rsidRDefault="002E4846" w:rsidP="002E4846">
            <w:pPr>
              <w:jc w:val="left"/>
              <w:rPr>
                <w:b/>
              </w:rPr>
            </w:pPr>
            <w:r>
              <w:rPr>
                <w:b/>
              </w:rPr>
              <w:t>Conditions</w:t>
            </w:r>
            <w:r>
              <w:rPr>
                <w:rStyle w:val="FootnoteReference"/>
                <w:b/>
              </w:rPr>
              <w:footnoteReference w:id="7"/>
            </w:r>
          </w:p>
          <w:p w:rsidR="002E4846" w:rsidRPr="001406BD" w:rsidRDefault="002E4846" w:rsidP="002E4846">
            <w:pPr>
              <w:jc w:val="left"/>
            </w:pPr>
            <w:r w:rsidRPr="001406BD">
              <w:t>(for Investors' benefit)</w:t>
            </w:r>
          </w:p>
          <w:p w:rsidR="002E4846" w:rsidRPr="00F771B4" w:rsidRDefault="002E4846" w:rsidP="002E4846">
            <w:pPr>
              <w:jc w:val="left"/>
              <w:rPr>
                <w:b/>
              </w:rPr>
            </w:pPr>
          </w:p>
        </w:tc>
        <w:tc>
          <w:tcPr>
            <w:tcW w:w="6057" w:type="dxa"/>
            <w:gridSpan w:val="6"/>
            <w:shd w:val="clear" w:color="auto" w:fill="auto"/>
          </w:tcPr>
          <w:p w:rsidR="002E4846" w:rsidRPr="00F771B4" w:rsidRDefault="002E4846" w:rsidP="002E4846">
            <w:pPr>
              <w:numPr>
                <w:ilvl w:val="0"/>
                <w:numId w:val="29"/>
              </w:numPr>
            </w:pPr>
            <w:r w:rsidRPr="00F80545">
              <w:rPr>
                <w:b/>
              </w:rPr>
              <w:t>[</w:t>
            </w:r>
            <w:r w:rsidRPr="00F771B4">
              <w:t>Due diligence being completed to the satisfaction of the Investors.</w:t>
            </w:r>
            <w:r w:rsidRPr="00F80545">
              <w:rPr>
                <w:b/>
              </w:rPr>
              <w:t>]</w:t>
            </w:r>
          </w:p>
          <w:p w:rsidR="002E4846" w:rsidRDefault="002E4846" w:rsidP="002E4846">
            <w:pPr>
              <w:ind w:left="850"/>
            </w:pPr>
          </w:p>
          <w:p w:rsidR="002E4846" w:rsidRDefault="002E4846" w:rsidP="002E4846">
            <w:pPr>
              <w:numPr>
                <w:ilvl w:val="0"/>
                <w:numId w:val="29"/>
              </w:numPr>
            </w:pPr>
            <w:r w:rsidRPr="00F80545">
              <w:rPr>
                <w:b/>
              </w:rPr>
              <w:t>[</w:t>
            </w:r>
            <w:r>
              <w:t xml:space="preserve">All necessary corporate approvals of each Investor </w:t>
            </w:r>
            <w:r w:rsidRPr="00F771B4">
              <w:t>(as applicable).</w:t>
            </w:r>
            <w:r w:rsidRPr="00F80545">
              <w:rPr>
                <w:b/>
              </w:rPr>
              <w:t>]</w:t>
            </w:r>
          </w:p>
          <w:p w:rsidR="002E4846" w:rsidRPr="00F771B4" w:rsidRDefault="002E4846" w:rsidP="002E4846"/>
          <w:p w:rsidR="002E4846" w:rsidRPr="00F771B4" w:rsidRDefault="002E4846" w:rsidP="002E4846">
            <w:pPr>
              <w:numPr>
                <w:ilvl w:val="0"/>
                <w:numId w:val="29"/>
              </w:numPr>
            </w:pPr>
            <w:r w:rsidRPr="00F80545">
              <w:rPr>
                <w:b/>
              </w:rPr>
              <w:t>[</w:t>
            </w:r>
            <w:r w:rsidRPr="00F771B4">
              <w:t>Agreement to a business plan which comprises an agreed budget (</w:t>
            </w:r>
            <w:r w:rsidRPr="00F771B4">
              <w:rPr>
                <w:b/>
              </w:rPr>
              <w:t>Agreed Business Plan</w:t>
            </w:r>
            <w:r w:rsidRPr="00F771B4">
              <w:t>).</w:t>
            </w:r>
            <w:r w:rsidRPr="00F80545">
              <w:rPr>
                <w:b/>
              </w:rPr>
              <w:t>]</w:t>
            </w:r>
            <w:r w:rsidRPr="00F771B4">
              <w:t xml:space="preserve"> </w:t>
            </w:r>
          </w:p>
          <w:p w:rsidR="002E4846" w:rsidRPr="00F771B4" w:rsidRDefault="002E4846" w:rsidP="002E4846"/>
          <w:p w:rsidR="002E4846" w:rsidRPr="00F771B4" w:rsidRDefault="002E4846" w:rsidP="002E4846">
            <w:pPr>
              <w:numPr>
                <w:ilvl w:val="0"/>
                <w:numId w:val="29"/>
              </w:numPr>
            </w:pPr>
            <w:r w:rsidRPr="00F771B4">
              <w:rPr>
                <w:b/>
              </w:rPr>
              <w:t>[</w:t>
            </w:r>
            <w:r w:rsidRPr="00F771B4">
              <w:rPr>
                <w:i/>
              </w:rPr>
              <w:t xml:space="preserve">Agreement on milestones which must be achieved for disbursement of </w:t>
            </w:r>
            <w:proofErr w:type="spellStart"/>
            <w:r>
              <w:rPr>
                <w:i/>
              </w:rPr>
              <w:t>tranched</w:t>
            </w:r>
            <w:proofErr w:type="spellEnd"/>
            <w:r w:rsidRPr="00F771B4">
              <w:rPr>
                <w:i/>
              </w:rPr>
              <w:t xml:space="preserve"> Investment Amount</w:t>
            </w:r>
            <w:r>
              <w:rPr>
                <w:i/>
              </w:rPr>
              <w:t>s</w:t>
            </w:r>
            <w:r w:rsidRPr="00F771B4">
              <w:rPr>
                <w:i/>
              </w:rPr>
              <w:t xml:space="preserve"> (</w:t>
            </w:r>
            <w:r w:rsidRPr="00F771B4">
              <w:rPr>
                <w:b/>
                <w:i/>
              </w:rPr>
              <w:t>Milestones</w:t>
            </w:r>
            <w:r w:rsidRPr="00F771B4">
              <w:rPr>
                <w:i/>
              </w:rPr>
              <w:t>)</w:t>
            </w:r>
            <w:r w:rsidRPr="00F771B4">
              <w:rPr>
                <w:b/>
              </w:rPr>
              <w:t>]</w:t>
            </w:r>
            <w:r w:rsidRPr="00F771B4">
              <w:t>.</w:t>
            </w:r>
          </w:p>
          <w:p w:rsidR="002E4846" w:rsidRPr="00F771B4" w:rsidRDefault="002E4846" w:rsidP="002E4846"/>
          <w:p w:rsidR="002E4846" w:rsidRDefault="002E4846" w:rsidP="002E4846">
            <w:pPr>
              <w:numPr>
                <w:ilvl w:val="0"/>
                <w:numId w:val="29"/>
              </w:numPr>
            </w:pPr>
            <w:r w:rsidRPr="00487461">
              <w:rPr>
                <w:b/>
              </w:rPr>
              <w:t>[</w:t>
            </w:r>
            <w:r>
              <w:t>The Company entering into subscription agreements that bind investors to invest a total investment amount exceeding the Minimum Round Size.</w:t>
            </w:r>
            <w:r w:rsidRPr="00487461">
              <w:rPr>
                <w:b/>
              </w:rPr>
              <w:t>]</w:t>
            </w:r>
          </w:p>
          <w:p w:rsidR="002E4846" w:rsidRDefault="002E4846" w:rsidP="002E4846">
            <w:pPr>
              <w:pStyle w:val="ListParagraph"/>
            </w:pPr>
          </w:p>
          <w:p w:rsidR="002E4846" w:rsidRPr="00F771B4" w:rsidRDefault="008168C5" w:rsidP="002E4846">
            <w:pPr>
              <w:numPr>
                <w:ilvl w:val="0"/>
                <w:numId w:val="29"/>
              </w:numPr>
            </w:pPr>
            <w:r w:rsidRPr="008168C5">
              <w:rPr>
                <w:b/>
              </w:rPr>
              <w:t>[</w:t>
            </w:r>
            <w:r w:rsidR="002E4846">
              <w:t xml:space="preserve">Entry into a new shareholders’ agreement in the agreed form by the Company, all existing shareholders, </w:t>
            </w:r>
            <w:r w:rsidR="00107D81">
              <w:t>founders</w:t>
            </w:r>
            <w:r w:rsidR="002E4846">
              <w:t xml:space="preserve">, </w:t>
            </w:r>
            <w:r w:rsidR="002E4846" w:rsidRPr="00F771B4">
              <w:t xml:space="preserve">and all holders of </w:t>
            </w:r>
            <w:r w:rsidR="002E4846">
              <w:t xml:space="preserve">securities </w:t>
            </w:r>
            <w:r w:rsidR="002E4846" w:rsidRPr="00F771B4">
              <w:t xml:space="preserve">in the Company </w:t>
            </w:r>
            <w:r w:rsidR="002E4846">
              <w:t>which will convert to shares in the Company on Completion</w:t>
            </w:r>
            <w:r w:rsidR="002E4846" w:rsidRPr="00F771B4">
              <w:t>.</w:t>
            </w:r>
            <w:r w:rsidRPr="008168C5">
              <w:rPr>
                <w:b/>
              </w:rPr>
              <w:t>]</w:t>
            </w:r>
          </w:p>
          <w:p w:rsidR="002E4846" w:rsidRPr="00F771B4" w:rsidRDefault="002E4846" w:rsidP="002E4846"/>
          <w:p w:rsidR="002E4846" w:rsidRDefault="00CA1DA4" w:rsidP="002E4846">
            <w:pPr>
              <w:numPr>
                <w:ilvl w:val="0"/>
                <w:numId w:val="29"/>
              </w:numPr>
            </w:pPr>
            <w:r w:rsidRPr="00CA1DA4">
              <w:rPr>
                <w:b/>
              </w:rPr>
              <w:t>[</w:t>
            </w:r>
            <w:r w:rsidR="002E4846">
              <w:t>The existing shareholders of the Company adopting a new constitution in the agreed form.</w:t>
            </w:r>
            <w:r w:rsidRPr="00CA1DA4">
              <w:rPr>
                <w:b/>
              </w:rPr>
              <w:t>]</w:t>
            </w:r>
          </w:p>
          <w:p w:rsidR="002E4846" w:rsidRDefault="002E4846" w:rsidP="002E4846">
            <w:pPr>
              <w:pStyle w:val="ListParagraph"/>
            </w:pPr>
          </w:p>
          <w:p w:rsidR="002E4846" w:rsidRPr="00F771B4" w:rsidRDefault="002E4846" w:rsidP="002E4846">
            <w:pPr>
              <w:numPr>
                <w:ilvl w:val="0"/>
                <w:numId w:val="29"/>
              </w:numPr>
            </w:pPr>
            <w:r w:rsidRPr="00F80545">
              <w:rPr>
                <w:b/>
              </w:rPr>
              <w:t>[</w:t>
            </w:r>
            <w:r w:rsidRPr="00F771B4">
              <w:t xml:space="preserve">Capitalisation of all outstanding loans </w:t>
            </w:r>
            <w:r w:rsidRPr="00F771B4">
              <w:rPr>
                <w:b/>
              </w:rPr>
              <w:t>[</w:t>
            </w:r>
            <w:r w:rsidRPr="00F771B4">
              <w:rPr>
                <w:i/>
              </w:rPr>
              <w:t xml:space="preserve">other than the loan(s) of $    from </w:t>
            </w:r>
            <w:r w:rsidRPr="00F771B4">
              <w:rPr>
                <w:b/>
              </w:rPr>
              <w:t>[</w:t>
            </w:r>
            <w:r w:rsidRPr="00F771B4">
              <w:t xml:space="preserve">  </w:t>
            </w:r>
            <w:r w:rsidRPr="00F771B4">
              <w:rPr>
                <w:b/>
              </w:rPr>
              <w:t>]]</w:t>
            </w:r>
            <w:r w:rsidRPr="00F771B4">
              <w:t xml:space="preserve"> and that capitalisation resulting in the pre-investment capitalisation shown in the Capitalisation Table.</w:t>
            </w:r>
            <w:r w:rsidRPr="00F80545">
              <w:rPr>
                <w:b/>
              </w:rPr>
              <w:t>]</w:t>
            </w:r>
          </w:p>
          <w:p w:rsidR="002E4846" w:rsidRPr="00F771B4" w:rsidRDefault="002E4846" w:rsidP="002E4846"/>
          <w:p w:rsidR="002E4846" w:rsidRPr="00F771B4" w:rsidRDefault="002E4846" w:rsidP="002E4846">
            <w:pPr>
              <w:numPr>
                <w:ilvl w:val="0"/>
                <w:numId w:val="29"/>
              </w:numPr>
            </w:pPr>
            <w:r>
              <w:rPr>
                <w:b/>
              </w:rPr>
              <w:t>[</w:t>
            </w:r>
            <w:r>
              <w:t xml:space="preserve">The Company signing </w:t>
            </w:r>
            <w:r w:rsidRPr="00F771B4">
              <w:t xml:space="preserve">employment or contractor agreements(s) with the </w:t>
            </w:r>
            <w:r w:rsidRPr="00F771B4">
              <w:rPr>
                <w:b/>
              </w:rPr>
              <w:t>[</w:t>
            </w:r>
            <w:r w:rsidR="00107D81">
              <w:rPr>
                <w:i/>
              </w:rPr>
              <w:t>Founder(s)</w:t>
            </w:r>
            <w:proofErr w:type="gramStart"/>
            <w:r w:rsidRPr="00F771B4">
              <w:rPr>
                <w:b/>
              </w:rPr>
              <w:t>][</w:t>
            </w:r>
            <w:proofErr w:type="gramEnd"/>
            <w:r w:rsidRPr="0061671E">
              <w:rPr>
                <w:b/>
                <w:i/>
              </w:rPr>
              <w:t>AND/OR</w:t>
            </w:r>
            <w:r w:rsidRPr="00F771B4">
              <w:rPr>
                <w:b/>
              </w:rPr>
              <w:t>][</w:t>
            </w:r>
            <w:r w:rsidRPr="00F771B4">
              <w:rPr>
                <w:i/>
              </w:rPr>
              <w:t>insert names</w:t>
            </w:r>
            <w:r w:rsidRPr="00F771B4">
              <w:rPr>
                <w:b/>
              </w:rPr>
              <w:t>]]</w:t>
            </w:r>
            <w:r w:rsidRPr="00F771B4">
              <w:t xml:space="preserve"> on terms acceptable to the Investors (and which include suitable non-</w:t>
            </w:r>
            <w:r>
              <w:t>competition and non-solicitation</w:t>
            </w:r>
            <w:r w:rsidRPr="00F771B4">
              <w:t xml:space="preserve"> covenants).</w:t>
            </w:r>
            <w:r>
              <w:rPr>
                <w:b/>
              </w:rPr>
              <w:t>]</w:t>
            </w:r>
          </w:p>
          <w:p w:rsidR="002E4846" w:rsidRPr="00F771B4" w:rsidRDefault="002E4846" w:rsidP="002E4846"/>
          <w:p w:rsidR="002E4846" w:rsidRPr="00F771B4" w:rsidRDefault="002E4846" w:rsidP="002E4846">
            <w:pPr>
              <w:numPr>
                <w:ilvl w:val="0"/>
                <w:numId w:val="29"/>
              </w:numPr>
            </w:pPr>
            <w:r>
              <w:rPr>
                <w:b/>
              </w:rPr>
              <w:t>[</w:t>
            </w:r>
            <w:r w:rsidRPr="00F771B4">
              <w:t xml:space="preserve">The Investors being satisfied that relevant officers, consultants and contractors (including all </w:t>
            </w:r>
            <w:r w:rsidR="00107D81">
              <w:t>Founders</w:t>
            </w:r>
            <w:r w:rsidRPr="00F771B4">
              <w:t>) have assigned (in a form acceptable to the Investors) all intellectual property linked to the Business.</w:t>
            </w:r>
            <w:r>
              <w:rPr>
                <w:b/>
              </w:rPr>
              <w:t>]</w:t>
            </w:r>
          </w:p>
          <w:p w:rsidR="002E4846" w:rsidRDefault="002E4846" w:rsidP="002E4846"/>
          <w:p w:rsidR="002E4846" w:rsidRDefault="00CA1DA4" w:rsidP="002E4846">
            <w:pPr>
              <w:numPr>
                <w:ilvl w:val="0"/>
                <w:numId w:val="29"/>
              </w:numPr>
            </w:pPr>
            <w:r w:rsidRPr="00CA1DA4">
              <w:rPr>
                <w:b/>
              </w:rPr>
              <w:t>[</w:t>
            </w:r>
            <w:r w:rsidR="002E4846">
              <w:t>Evidence that the Company has authority to issue the Shares.</w:t>
            </w:r>
            <w:r w:rsidRPr="00CA1DA4">
              <w:rPr>
                <w:b/>
              </w:rPr>
              <w:t>]</w:t>
            </w:r>
          </w:p>
          <w:p w:rsidR="002E4846" w:rsidRDefault="002E4846" w:rsidP="002E4846">
            <w:pPr>
              <w:pStyle w:val="ListParagraph"/>
            </w:pPr>
          </w:p>
          <w:p w:rsidR="002E4846" w:rsidRPr="00F771B4" w:rsidRDefault="00CA1DA4" w:rsidP="002E4846">
            <w:pPr>
              <w:numPr>
                <w:ilvl w:val="0"/>
                <w:numId w:val="29"/>
              </w:numPr>
            </w:pPr>
            <w:r w:rsidRPr="00CA1DA4">
              <w:rPr>
                <w:b/>
              </w:rPr>
              <w:t>[</w:t>
            </w:r>
            <w:r w:rsidR="002E4846" w:rsidRPr="00F771B4">
              <w:t>Evidence that any third party consents or other authorisa</w:t>
            </w:r>
            <w:r w:rsidR="002E4846">
              <w:t>tions required to complete the I</w:t>
            </w:r>
            <w:r w:rsidR="002E4846" w:rsidRPr="00F771B4">
              <w:t>nvestment have been obtained.</w:t>
            </w:r>
            <w:r w:rsidRPr="00CA1DA4">
              <w:rPr>
                <w:b/>
              </w:rPr>
              <w:t>]</w:t>
            </w:r>
          </w:p>
          <w:p w:rsidR="002E4846" w:rsidRPr="00F771B4" w:rsidRDefault="002E4846" w:rsidP="002E4846">
            <w:pPr>
              <w:ind w:left="850"/>
              <w:rPr>
                <w:i/>
              </w:rPr>
            </w:pPr>
          </w:p>
          <w:p w:rsidR="002E4846" w:rsidRPr="00F771B4" w:rsidRDefault="002E4846" w:rsidP="002E4846">
            <w:pPr>
              <w:numPr>
                <w:ilvl w:val="0"/>
                <w:numId w:val="29"/>
              </w:numPr>
              <w:rPr>
                <w:i/>
              </w:rPr>
            </w:pPr>
            <w:r w:rsidRPr="004B5EF5">
              <w:rPr>
                <w:b/>
              </w:rPr>
              <w:t>[</w:t>
            </w:r>
            <w:r w:rsidRPr="00F771B4">
              <w:rPr>
                <w:i/>
              </w:rPr>
              <w:t xml:space="preserve">Vesting terms being agreed and recorded with the </w:t>
            </w:r>
            <w:r w:rsidR="00107D81">
              <w:rPr>
                <w:i/>
              </w:rPr>
              <w:t>Founder(s)</w:t>
            </w:r>
            <w:r w:rsidRPr="00F771B4">
              <w:rPr>
                <w:i/>
              </w:rPr>
              <w:t>.</w:t>
            </w:r>
            <w:r w:rsidRPr="004B5EF5">
              <w:rPr>
                <w:b/>
              </w:rPr>
              <w:t>]</w:t>
            </w:r>
          </w:p>
          <w:p w:rsidR="002E4846" w:rsidRPr="00F771B4" w:rsidRDefault="002E4846" w:rsidP="002E4846">
            <w:pPr>
              <w:ind w:left="850"/>
            </w:pPr>
          </w:p>
          <w:p w:rsidR="002E4846" w:rsidRPr="00F771B4" w:rsidRDefault="002E4846" w:rsidP="002E4846">
            <w:pPr>
              <w:numPr>
                <w:ilvl w:val="0"/>
                <w:numId w:val="29"/>
              </w:numPr>
            </w:pPr>
            <w:r w:rsidRPr="00F771B4">
              <w:rPr>
                <w:b/>
              </w:rPr>
              <w:t>[</w:t>
            </w:r>
            <w:r w:rsidRPr="00A27DE6">
              <w:rPr>
                <w:i/>
              </w:rPr>
              <w:t>Insert any other specific conditions precedent</w:t>
            </w:r>
            <w:r w:rsidRPr="00F771B4">
              <w:rPr>
                <w:b/>
              </w:rPr>
              <w:t>]</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sidRPr="00F771B4">
              <w:rPr>
                <w:b/>
              </w:rPr>
              <w:t>Anticipated Completion Date</w:t>
            </w:r>
          </w:p>
          <w:p w:rsidR="002E4846" w:rsidRPr="00F771B4" w:rsidRDefault="002E4846" w:rsidP="002E4846">
            <w:pPr>
              <w:jc w:val="left"/>
              <w:rPr>
                <w:b/>
              </w:rPr>
            </w:pPr>
          </w:p>
        </w:tc>
        <w:tc>
          <w:tcPr>
            <w:tcW w:w="6057" w:type="dxa"/>
            <w:gridSpan w:val="6"/>
            <w:shd w:val="clear" w:color="auto" w:fill="auto"/>
          </w:tcPr>
          <w:p w:rsidR="002E4846" w:rsidRPr="00F771B4" w:rsidRDefault="002E4846" w:rsidP="002E4846">
            <w:r w:rsidRPr="00F771B4">
              <w:rPr>
                <w:b/>
              </w:rPr>
              <w:t>[</w:t>
            </w:r>
            <w:r w:rsidRPr="00C11CA4">
              <w:rPr>
                <w:i/>
              </w:rPr>
              <w:t>Insert date</w:t>
            </w:r>
            <w:r w:rsidRPr="00F771B4">
              <w:rPr>
                <w:b/>
              </w:rPr>
              <w:t>]</w:t>
            </w:r>
            <w:r w:rsidRPr="00F771B4">
              <w:t xml:space="preserve"> or </w:t>
            </w:r>
            <w:r>
              <w:t>5 business d</w:t>
            </w:r>
            <w:r w:rsidRPr="00F771B4">
              <w:t xml:space="preserve">ays after satisfaction of all conditions precedent in the </w:t>
            </w:r>
            <w:r>
              <w:t>subscription agreement</w:t>
            </w:r>
            <w:r w:rsidRPr="00F771B4">
              <w:t xml:space="preserve"> (actual completion date being referred to as</w:t>
            </w:r>
            <w:r>
              <w:t xml:space="preserve"> the</w:t>
            </w:r>
            <w:r w:rsidRPr="00F771B4">
              <w:t xml:space="preserve"> </w:t>
            </w:r>
            <w:r w:rsidRPr="00F771B4">
              <w:rPr>
                <w:b/>
              </w:rPr>
              <w:t>Completion Date</w:t>
            </w:r>
            <w:r w:rsidRPr="00F771B4">
              <w:t>).</w:t>
            </w:r>
          </w:p>
          <w:p w:rsidR="002E4846" w:rsidRPr="00F771B4" w:rsidRDefault="002E4846" w:rsidP="002E4846"/>
        </w:tc>
      </w:tr>
      <w:tr w:rsidR="002E4846" w:rsidRPr="00CC24B1" w:rsidTr="00F71D10">
        <w:trPr>
          <w:trHeight w:val="160"/>
        </w:trPr>
        <w:tc>
          <w:tcPr>
            <w:tcW w:w="2619" w:type="dxa"/>
            <w:vMerge w:val="restart"/>
            <w:shd w:val="clear" w:color="auto" w:fill="auto"/>
          </w:tcPr>
          <w:p w:rsidR="002E4846" w:rsidRPr="00CC24B1" w:rsidRDefault="002E4846" w:rsidP="002E4846">
            <w:pPr>
              <w:jc w:val="left"/>
              <w:rPr>
                <w:b/>
                <w:i/>
              </w:rPr>
            </w:pPr>
            <w:r w:rsidRPr="00CC24B1">
              <w:rPr>
                <w:b/>
                <w:i/>
              </w:rPr>
              <w:t>[</w:t>
            </w:r>
            <w:proofErr w:type="spellStart"/>
            <w:r w:rsidRPr="00CC24B1">
              <w:rPr>
                <w:b/>
                <w:i/>
              </w:rPr>
              <w:t>Tranched</w:t>
            </w:r>
            <w:proofErr w:type="spellEnd"/>
            <w:r w:rsidRPr="00CC24B1">
              <w:rPr>
                <w:b/>
                <w:i/>
              </w:rPr>
              <w:t xml:space="preserve"> Investment]</w:t>
            </w:r>
            <w:r w:rsidRPr="00CC24B1">
              <w:rPr>
                <w:rStyle w:val="FootnoteReference"/>
                <w:b/>
                <w:i/>
              </w:rPr>
              <w:footnoteReference w:id="8"/>
            </w:r>
          </w:p>
        </w:tc>
        <w:tc>
          <w:tcPr>
            <w:tcW w:w="1804" w:type="dxa"/>
            <w:gridSpan w:val="2"/>
            <w:shd w:val="pct15" w:color="auto" w:fill="auto"/>
          </w:tcPr>
          <w:p w:rsidR="002E4846" w:rsidRPr="00CC24B1" w:rsidRDefault="002E4846" w:rsidP="002E4846">
            <w:pPr>
              <w:rPr>
                <w:b/>
                <w:i/>
              </w:rPr>
            </w:pPr>
            <w:r w:rsidRPr="00CC24B1">
              <w:rPr>
                <w:b/>
                <w:i/>
              </w:rPr>
              <w:t>Tranche $</w:t>
            </w:r>
          </w:p>
        </w:tc>
        <w:tc>
          <w:tcPr>
            <w:tcW w:w="2974" w:type="dxa"/>
            <w:gridSpan w:val="3"/>
            <w:shd w:val="pct15" w:color="auto" w:fill="auto"/>
          </w:tcPr>
          <w:p w:rsidR="002E4846" w:rsidRPr="00CC24B1" w:rsidRDefault="002E4846" w:rsidP="002E4846">
            <w:pPr>
              <w:rPr>
                <w:b/>
                <w:i/>
              </w:rPr>
            </w:pPr>
            <w:r w:rsidRPr="00CC24B1">
              <w:rPr>
                <w:b/>
                <w:i/>
              </w:rPr>
              <w:t>Milestone</w:t>
            </w:r>
            <w:r>
              <w:rPr>
                <w:b/>
                <w:i/>
              </w:rPr>
              <w:t>s</w:t>
            </w:r>
            <w:r>
              <w:rPr>
                <w:rStyle w:val="FootnoteReference"/>
                <w:b/>
                <w:i/>
              </w:rPr>
              <w:footnoteReference w:id="9"/>
            </w:r>
          </w:p>
        </w:tc>
        <w:tc>
          <w:tcPr>
            <w:tcW w:w="1279" w:type="dxa"/>
            <w:shd w:val="pct15" w:color="auto" w:fill="auto"/>
          </w:tcPr>
          <w:p w:rsidR="002E4846" w:rsidRPr="00CC24B1" w:rsidRDefault="002E4846" w:rsidP="002E4846">
            <w:pPr>
              <w:rPr>
                <w:b/>
                <w:i/>
              </w:rPr>
            </w:pPr>
            <w:r w:rsidRPr="00CC24B1">
              <w:rPr>
                <w:b/>
                <w:i/>
              </w:rPr>
              <w:t>Date</w:t>
            </w:r>
            <w:r w:rsidRPr="00CC24B1">
              <w:rPr>
                <w:rStyle w:val="FootnoteReference"/>
                <w:b/>
                <w:i/>
              </w:rPr>
              <w:footnoteReference w:id="10"/>
            </w:r>
            <w:r w:rsidRPr="00CC24B1">
              <w:rPr>
                <w:b/>
                <w:i/>
              </w:rPr>
              <w:t xml:space="preserve"> </w:t>
            </w:r>
          </w:p>
        </w:tc>
      </w:tr>
      <w:tr w:rsidR="002E4846" w:rsidRPr="00CC24B1" w:rsidTr="00F71D10">
        <w:trPr>
          <w:trHeight w:val="160"/>
        </w:trPr>
        <w:tc>
          <w:tcPr>
            <w:tcW w:w="2619" w:type="dxa"/>
            <w:vMerge/>
            <w:shd w:val="clear" w:color="auto" w:fill="auto"/>
          </w:tcPr>
          <w:p w:rsidR="002E4846" w:rsidRPr="00CC24B1" w:rsidRDefault="002E4846" w:rsidP="002E4846">
            <w:pPr>
              <w:jc w:val="left"/>
              <w:rPr>
                <w:b/>
                <w:i/>
              </w:rPr>
            </w:pPr>
          </w:p>
        </w:tc>
        <w:tc>
          <w:tcPr>
            <w:tcW w:w="387" w:type="dxa"/>
            <w:shd w:val="clear" w:color="auto" w:fill="auto"/>
          </w:tcPr>
          <w:p w:rsidR="002E4846" w:rsidRPr="00114C61" w:rsidRDefault="002E4846" w:rsidP="002E4846">
            <w:pPr>
              <w:pStyle w:val="ListParagraph"/>
              <w:numPr>
                <w:ilvl w:val="0"/>
                <w:numId w:val="32"/>
              </w:numPr>
              <w:spacing w:before="60" w:after="60"/>
              <w:rPr>
                <w:i/>
              </w:rPr>
            </w:pPr>
          </w:p>
        </w:tc>
        <w:tc>
          <w:tcPr>
            <w:tcW w:w="1417" w:type="dxa"/>
            <w:shd w:val="clear" w:color="auto" w:fill="auto"/>
          </w:tcPr>
          <w:p w:rsidR="002E4846" w:rsidRPr="00CC24B1" w:rsidRDefault="002E4846" w:rsidP="002E4846">
            <w:pPr>
              <w:spacing w:before="60" w:after="60"/>
              <w:rPr>
                <w:i/>
              </w:rPr>
            </w:pPr>
            <w:r w:rsidRPr="00CC24B1">
              <w:rPr>
                <w:i/>
              </w:rPr>
              <w:t>$</w:t>
            </w:r>
            <w:r w:rsidRPr="00CC24B1">
              <w:rPr>
                <w:b/>
                <w:i/>
              </w:rPr>
              <w:t>[</w:t>
            </w:r>
            <w:r w:rsidRPr="00CC24B1">
              <w:rPr>
                <w:i/>
              </w:rPr>
              <w:t>insert</w:t>
            </w:r>
            <w:r w:rsidRPr="00CC24B1">
              <w:rPr>
                <w:b/>
                <w:i/>
              </w:rPr>
              <w:t xml:space="preserve"> </w:t>
            </w:r>
            <w:r w:rsidRPr="00CC24B1">
              <w:rPr>
                <w:i/>
              </w:rPr>
              <w:t>amount</w:t>
            </w:r>
            <w:r w:rsidRPr="00CC24B1">
              <w:rPr>
                <w:b/>
                <w:i/>
              </w:rPr>
              <w:t>]</w:t>
            </w:r>
          </w:p>
        </w:tc>
        <w:tc>
          <w:tcPr>
            <w:tcW w:w="2974" w:type="dxa"/>
            <w:gridSpan w:val="3"/>
            <w:shd w:val="clear" w:color="auto" w:fill="auto"/>
          </w:tcPr>
          <w:p w:rsidR="002E4846" w:rsidRPr="00CC24B1" w:rsidRDefault="002E4846" w:rsidP="002E4846">
            <w:pPr>
              <w:spacing w:before="60" w:after="60"/>
              <w:rPr>
                <w:i/>
              </w:rPr>
            </w:pPr>
            <w:r>
              <w:rPr>
                <w:i/>
              </w:rPr>
              <w:t>Satisfaction of Conditions</w:t>
            </w:r>
          </w:p>
        </w:tc>
        <w:tc>
          <w:tcPr>
            <w:tcW w:w="1279" w:type="dxa"/>
            <w:shd w:val="clear" w:color="auto" w:fill="auto"/>
          </w:tcPr>
          <w:p w:rsidR="002E4846" w:rsidRPr="00CC24B1" w:rsidRDefault="002E4846" w:rsidP="002E4846">
            <w:pPr>
              <w:spacing w:before="60" w:after="60"/>
              <w:rPr>
                <w:i/>
              </w:rPr>
            </w:pPr>
            <w:r>
              <w:rPr>
                <w:i/>
              </w:rPr>
              <w:t>Completion Date</w:t>
            </w:r>
          </w:p>
        </w:tc>
      </w:tr>
      <w:tr w:rsidR="002E4846" w:rsidRPr="00CC24B1" w:rsidTr="00F71D10">
        <w:trPr>
          <w:trHeight w:val="160"/>
        </w:trPr>
        <w:tc>
          <w:tcPr>
            <w:tcW w:w="2619" w:type="dxa"/>
            <w:vMerge/>
            <w:shd w:val="clear" w:color="auto" w:fill="auto"/>
          </w:tcPr>
          <w:p w:rsidR="002E4846" w:rsidRPr="00CC24B1" w:rsidRDefault="002E4846" w:rsidP="002E4846">
            <w:pPr>
              <w:jc w:val="left"/>
              <w:rPr>
                <w:b/>
                <w:i/>
              </w:rPr>
            </w:pPr>
          </w:p>
        </w:tc>
        <w:tc>
          <w:tcPr>
            <w:tcW w:w="387" w:type="dxa"/>
            <w:shd w:val="clear" w:color="auto" w:fill="auto"/>
          </w:tcPr>
          <w:p w:rsidR="002E4846" w:rsidRPr="00114C61" w:rsidRDefault="002E4846" w:rsidP="002E4846">
            <w:pPr>
              <w:pStyle w:val="ListParagraph"/>
              <w:numPr>
                <w:ilvl w:val="0"/>
                <w:numId w:val="32"/>
              </w:numPr>
              <w:spacing w:before="60" w:after="60"/>
              <w:rPr>
                <w:i/>
              </w:rPr>
            </w:pPr>
          </w:p>
        </w:tc>
        <w:tc>
          <w:tcPr>
            <w:tcW w:w="1417" w:type="dxa"/>
            <w:shd w:val="clear" w:color="auto" w:fill="auto"/>
          </w:tcPr>
          <w:p w:rsidR="002E4846" w:rsidRPr="00CC24B1" w:rsidRDefault="002E4846" w:rsidP="002E4846">
            <w:pPr>
              <w:spacing w:before="60" w:after="60"/>
              <w:rPr>
                <w:i/>
              </w:rPr>
            </w:pPr>
            <w:r w:rsidRPr="00CC24B1">
              <w:rPr>
                <w:i/>
              </w:rPr>
              <w:t>$</w:t>
            </w:r>
            <w:r w:rsidRPr="00CC24B1">
              <w:rPr>
                <w:b/>
                <w:i/>
              </w:rPr>
              <w:t>[</w:t>
            </w:r>
            <w:r w:rsidRPr="00CC24B1">
              <w:rPr>
                <w:i/>
              </w:rPr>
              <w:t>insert</w:t>
            </w:r>
            <w:r w:rsidRPr="00CC24B1">
              <w:rPr>
                <w:b/>
                <w:i/>
              </w:rPr>
              <w:t xml:space="preserve"> </w:t>
            </w:r>
            <w:r w:rsidRPr="00CC24B1">
              <w:rPr>
                <w:i/>
              </w:rPr>
              <w:t>amount</w:t>
            </w:r>
            <w:r w:rsidRPr="00CC24B1">
              <w:rPr>
                <w:b/>
                <w:i/>
              </w:rPr>
              <w:t>]</w:t>
            </w:r>
          </w:p>
        </w:tc>
        <w:tc>
          <w:tcPr>
            <w:tcW w:w="2974" w:type="dxa"/>
            <w:gridSpan w:val="3"/>
            <w:shd w:val="clear" w:color="auto" w:fill="auto"/>
          </w:tcPr>
          <w:p w:rsidR="002E4846" w:rsidRPr="00CC24B1" w:rsidRDefault="002E4846" w:rsidP="002E4846">
            <w:pPr>
              <w:spacing w:before="60" w:after="60"/>
              <w:rPr>
                <w:i/>
              </w:rPr>
            </w:pPr>
          </w:p>
        </w:tc>
        <w:tc>
          <w:tcPr>
            <w:tcW w:w="1279" w:type="dxa"/>
            <w:shd w:val="clear" w:color="auto" w:fill="auto"/>
          </w:tcPr>
          <w:p w:rsidR="002E4846" w:rsidRPr="00CC24B1" w:rsidRDefault="002E4846" w:rsidP="002E4846">
            <w:pPr>
              <w:spacing w:before="60" w:after="60"/>
              <w:rPr>
                <w:i/>
              </w:rPr>
            </w:pPr>
          </w:p>
        </w:tc>
      </w:tr>
      <w:tr w:rsidR="002E4846" w:rsidRPr="00CC24B1" w:rsidTr="00F71D10">
        <w:trPr>
          <w:trHeight w:val="160"/>
        </w:trPr>
        <w:tc>
          <w:tcPr>
            <w:tcW w:w="2619" w:type="dxa"/>
            <w:vMerge/>
            <w:shd w:val="clear" w:color="auto" w:fill="auto"/>
          </w:tcPr>
          <w:p w:rsidR="002E4846" w:rsidRPr="00CC24B1" w:rsidRDefault="002E4846" w:rsidP="002E4846">
            <w:pPr>
              <w:jc w:val="left"/>
              <w:rPr>
                <w:b/>
                <w:i/>
              </w:rPr>
            </w:pPr>
          </w:p>
        </w:tc>
        <w:tc>
          <w:tcPr>
            <w:tcW w:w="387" w:type="dxa"/>
            <w:shd w:val="clear" w:color="auto" w:fill="auto"/>
          </w:tcPr>
          <w:p w:rsidR="002E4846" w:rsidRPr="00114C61" w:rsidRDefault="002E4846" w:rsidP="002E4846">
            <w:pPr>
              <w:pStyle w:val="ListParagraph"/>
              <w:numPr>
                <w:ilvl w:val="0"/>
                <w:numId w:val="32"/>
              </w:numPr>
              <w:spacing w:before="60" w:after="60"/>
              <w:rPr>
                <w:i/>
              </w:rPr>
            </w:pPr>
          </w:p>
        </w:tc>
        <w:tc>
          <w:tcPr>
            <w:tcW w:w="1417" w:type="dxa"/>
            <w:shd w:val="clear" w:color="auto" w:fill="auto"/>
          </w:tcPr>
          <w:p w:rsidR="002E4846" w:rsidRPr="00CC24B1" w:rsidRDefault="002E4846" w:rsidP="002E4846">
            <w:pPr>
              <w:spacing w:before="60" w:after="60"/>
              <w:rPr>
                <w:i/>
              </w:rPr>
            </w:pPr>
            <w:r w:rsidRPr="00CC24B1">
              <w:rPr>
                <w:i/>
              </w:rPr>
              <w:t>$</w:t>
            </w:r>
            <w:r w:rsidRPr="00CC24B1">
              <w:rPr>
                <w:b/>
                <w:i/>
              </w:rPr>
              <w:t>[</w:t>
            </w:r>
            <w:r w:rsidRPr="00CC24B1">
              <w:rPr>
                <w:i/>
              </w:rPr>
              <w:t>insert</w:t>
            </w:r>
            <w:r w:rsidRPr="00CC24B1">
              <w:rPr>
                <w:b/>
                <w:i/>
              </w:rPr>
              <w:t xml:space="preserve"> </w:t>
            </w:r>
            <w:r w:rsidRPr="00CC24B1">
              <w:rPr>
                <w:i/>
              </w:rPr>
              <w:t>amount</w:t>
            </w:r>
            <w:r w:rsidRPr="00CC24B1">
              <w:rPr>
                <w:b/>
                <w:i/>
              </w:rPr>
              <w:t>]</w:t>
            </w:r>
          </w:p>
        </w:tc>
        <w:tc>
          <w:tcPr>
            <w:tcW w:w="2974" w:type="dxa"/>
            <w:gridSpan w:val="3"/>
            <w:shd w:val="clear" w:color="auto" w:fill="auto"/>
          </w:tcPr>
          <w:p w:rsidR="002E4846" w:rsidRPr="00CC24B1" w:rsidRDefault="002E4846" w:rsidP="002E4846">
            <w:pPr>
              <w:spacing w:before="60" w:after="60"/>
              <w:rPr>
                <w:i/>
              </w:rPr>
            </w:pPr>
          </w:p>
        </w:tc>
        <w:tc>
          <w:tcPr>
            <w:tcW w:w="1279" w:type="dxa"/>
            <w:shd w:val="clear" w:color="auto" w:fill="auto"/>
          </w:tcPr>
          <w:p w:rsidR="002E4846" w:rsidRPr="00CC24B1" w:rsidRDefault="002E4846" w:rsidP="002E4846">
            <w:pPr>
              <w:spacing w:before="60" w:after="60"/>
              <w:rPr>
                <w:i/>
              </w:rPr>
            </w:pPr>
          </w:p>
        </w:tc>
      </w:tr>
      <w:tr w:rsidR="002E4846" w:rsidRPr="00F771B4" w:rsidTr="00114C61">
        <w:tc>
          <w:tcPr>
            <w:tcW w:w="2619" w:type="dxa"/>
            <w:shd w:val="clear" w:color="auto" w:fill="auto"/>
          </w:tcPr>
          <w:p w:rsidR="002E4846" w:rsidRPr="00CC24B1" w:rsidRDefault="002E4846" w:rsidP="002E4846">
            <w:pPr>
              <w:jc w:val="left"/>
              <w:rPr>
                <w:b/>
                <w:i/>
              </w:rPr>
            </w:pPr>
            <w:r w:rsidRPr="00CC24B1">
              <w:rPr>
                <w:b/>
                <w:i/>
              </w:rPr>
              <w:t>[Anti-dilution]</w:t>
            </w:r>
            <w:r>
              <w:rPr>
                <w:rStyle w:val="FootnoteReference"/>
                <w:b/>
                <w:i/>
              </w:rPr>
              <w:footnoteReference w:id="11"/>
            </w:r>
            <w:r w:rsidRPr="00CC24B1">
              <w:rPr>
                <w:b/>
                <w:i/>
              </w:rPr>
              <w:t xml:space="preserve"> </w:t>
            </w:r>
          </w:p>
          <w:p w:rsidR="002E4846" w:rsidRPr="00CC24B1" w:rsidRDefault="002E4846" w:rsidP="002E4846">
            <w:pPr>
              <w:jc w:val="left"/>
              <w:rPr>
                <w:b/>
                <w:i/>
              </w:rPr>
            </w:pPr>
          </w:p>
          <w:p w:rsidR="002E4846" w:rsidRPr="00CC24B1" w:rsidRDefault="002E4846" w:rsidP="002E4846">
            <w:pPr>
              <w:jc w:val="left"/>
              <w:rPr>
                <w:b/>
                <w:i/>
              </w:rPr>
            </w:pPr>
          </w:p>
          <w:p w:rsidR="002E4846" w:rsidRPr="00CC24B1" w:rsidRDefault="002E4846" w:rsidP="002E4846">
            <w:pPr>
              <w:jc w:val="right"/>
              <w:rPr>
                <w:i/>
              </w:rPr>
            </w:pPr>
          </w:p>
        </w:tc>
        <w:tc>
          <w:tcPr>
            <w:tcW w:w="6057" w:type="dxa"/>
            <w:gridSpan w:val="6"/>
            <w:shd w:val="clear" w:color="auto" w:fill="auto"/>
          </w:tcPr>
          <w:p w:rsidR="002E4846" w:rsidRPr="00CC24B1" w:rsidRDefault="002E4846" w:rsidP="002E4846">
            <w:pPr>
              <w:rPr>
                <w:i/>
              </w:rPr>
            </w:pPr>
            <w:r w:rsidRPr="00CC24B1">
              <w:rPr>
                <w:i/>
              </w:rPr>
              <w:t xml:space="preserve">A broad based weighted average anti-dilution provision will apply if the Company issues shares in the future at a price lower than the Issue Price (adjusted for any capital reorganisations). The anti-dilution provision will not apply in respect of any shares or options issued under the </w:t>
            </w:r>
            <w:r w:rsidR="0049445C">
              <w:rPr>
                <w:i/>
              </w:rPr>
              <w:t>Share Scheme</w:t>
            </w:r>
            <w:r w:rsidRPr="00CC24B1">
              <w:rPr>
                <w:i/>
              </w:rPr>
              <w:t xml:space="preserve">. </w:t>
            </w:r>
          </w:p>
          <w:p w:rsidR="002E4846" w:rsidRPr="00CC24B1" w:rsidRDefault="002E4846" w:rsidP="002E4846">
            <w:pPr>
              <w:rPr>
                <w:i/>
              </w:rPr>
            </w:pPr>
          </w:p>
          <w:p w:rsidR="002E4846" w:rsidRPr="00CC24B1" w:rsidRDefault="002E4846" w:rsidP="002E4846">
            <w:pPr>
              <w:rPr>
                <w:i/>
              </w:rPr>
            </w:pPr>
            <w:r w:rsidRPr="00CC24B1">
              <w:rPr>
                <w:b/>
                <w:i/>
              </w:rPr>
              <w:t>[</w:t>
            </w:r>
            <w:r w:rsidRPr="00CC24B1">
              <w:rPr>
                <w:i/>
              </w:rPr>
              <w:t xml:space="preserve">The anti-dilution provision will apply for </w:t>
            </w:r>
            <w:r w:rsidRPr="00CC24B1">
              <w:rPr>
                <w:b/>
                <w:i/>
              </w:rPr>
              <w:t>[</w:t>
            </w:r>
            <w:r w:rsidRPr="00CC24B1">
              <w:rPr>
                <w:i/>
              </w:rPr>
              <w:t>insert number</w:t>
            </w:r>
            <w:r w:rsidRPr="00CC24B1">
              <w:rPr>
                <w:b/>
                <w:i/>
              </w:rPr>
              <w:t>]</w:t>
            </w:r>
            <w:r w:rsidRPr="00CC24B1">
              <w:rPr>
                <w:i/>
              </w:rPr>
              <w:t xml:space="preserve"> months following Completion.</w:t>
            </w:r>
            <w:r w:rsidRPr="00CC24B1">
              <w:rPr>
                <w:b/>
                <w:i/>
              </w:rPr>
              <w:t>]</w:t>
            </w:r>
            <w:r w:rsidRPr="00CC24B1">
              <w:rPr>
                <w:i/>
              </w:rPr>
              <w:t xml:space="preserve"> </w:t>
            </w:r>
          </w:p>
          <w:p w:rsidR="002E4846" w:rsidRPr="00CC24B1" w:rsidRDefault="002E4846" w:rsidP="002E4846">
            <w:pPr>
              <w:rPr>
                <w:i/>
              </w:rPr>
            </w:pPr>
          </w:p>
        </w:tc>
      </w:tr>
      <w:tr w:rsidR="002E4846" w:rsidRPr="00F771B4" w:rsidTr="00114C61">
        <w:tc>
          <w:tcPr>
            <w:tcW w:w="2619" w:type="dxa"/>
            <w:shd w:val="clear" w:color="auto" w:fill="auto"/>
          </w:tcPr>
          <w:p w:rsidR="002E4846" w:rsidRPr="00F771B4" w:rsidRDefault="002E4846" w:rsidP="002E4846">
            <w:pPr>
              <w:jc w:val="left"/>
              <w:rPr>
                <w:b/>
              </w:rPr>
            </w:pPr>
            <w:r w:rsidRPr="00F771B4">
              <w:rPr>
                <w:b/>
              </w:rPr>
              <w:t>Warranties</w:t>
            </w:r>
          </w:p>
        </w:tc>
        <w:tc>
          <w:tcPr>
            <w:tcW w:w="6057" w:type="dxa"/>
            <w:gridSpan w:val="6"/>
            <w:shd w:val="clear" w:color="auto" w:fill="auto"/>
          </w:tcPr>
          <w:p w:rsidR="002E4846" w:rsidRPr="00F771B4" w:rsidRDefault="002E4846" w:rsidP="002E4846">
            <w:r w:rsidRPr="00F771B4">
              <w:t xml:space="preserve">Customary warranties from the Company </w:t>
            </w:r>
            <w:r w:rsidR="00552798" w:rsidRPr="00552798">
              <w:rPr>
                <w:b/>
              </w:rPr>
              <w:t>[</w:t>
            </w:r>
            <w:r w:rsidR="00552798" w:rsidRPr="00552798">
              <w:rPr>
                <w:i/>
              </w:rPr>
              <w:t>and Founders</w:t>
            </w:r>
            <w:r w:rsidR="00552798" w:rsidRPr="00552798">
              <w:rPr>
                <w:b/>
              </w:rPr>
              <w:t>]</w:t>
            </w:r>
            <w:r w:rsidR="00552798">
              <w:rPr>
                <w:rStyle w:val="FootnoteReference"/>
                <w:b/>
              </w:rPr>
              <w:footnoteReference w:id="12"/>
            </w:r>
            <w:r w:rsidR="00552798">
              <w:t xml:space="preserve"> </w:t>
            </w:r>
            <w:r w:rsidRPr="00F771B4">
              <w:t xml:space="preserve">will be contained in the </w:t>
            </w:r>
            <w:r>
              <w:t>subscription agreement</w:t>
            </w:r>
            <w:r w:rsidRPr="00F771B4">
              <w:t>, including:</w:t>
            </w:r>
          </w:p>
          <w:p w:rsidR="002E4846" w:rsidRPr="00F771B4" w:rsidRDefault="002E4846" w:rsidP="002E4846"/>
          <w:p w:rsidR="002E4846" w:rsidRPr="00F771B4" w:rsidRDefault="002E4846" w:rsidP="002E4846">
            <w:pPr>
              <w:numPr>
                <w:ilvl w:val="0"/>
                <w:numId w:val="10"/>
              </w:numPr>
            </w:pPr>
            <w:r w:rsidRPr="00F771B4">
              <w:t xml:space="preserve">to its best knowledge and belief, all intellectual property and other rights </w:t>
            </w:r>
            <w:r>
              <w:t xml:space="preserve">used for </w:t>
            </w:r>
            <w:r w:rsidRPr="00F771B4">
              <w:t>the Business are the full legal, beneficial and unencumbered property of the Company</w:t>
            </w:r>
            <w:r>
              <w:t xml:space="preserve"> or the subject of valid licences in favour of the Company</w:t>
            </w:r>
            <w:r w:rsidRPr="00F771B4">
              <w:t>;</w:t>
            </w:r>
          </w:p>
          <w:p w:rsidR="002E4846" w:rsidRPr="00F771B4" w:rsidRDefault="002E4846" w:rsidP="002E4846"/>
          <w:p w:rsidR="002E4846" w:rsidRPr="00F771B4" w:rsidRDefault="002E4846" w:rsidP="002E4846">
            <w:pPr>
              <w:numPr>
                <w:ilvl w:val="0"/>
                <w:numId w:val="11"/>
              </w:numPr>
            </w:pPr>
            <w:r w:rsidRPr="00F771B4">
              <w:t>the Company does not have any actual or contingent liabilities greater than $</w:t>
            </w:r>
            <w:r w:rsidRPr="00F771B4">
              <w:rPr>
                <w:b/>
              </w:rPr>
              <w:t>[</w:t>
            </w:r>
            <w:r w:rsidRPr="00F771B4">
              <w:rPr>
                <w:i/>
              </w:rPr>
              <w:t>insert amount</w:t>
            </w:r>
            <w:r w:rsidRPr="00F771B4">
              <w:rPr>
                <w:b/>
              </w:rPr>
              <w:t>]</w:t>
            </w:r>
            <w:r>
              <w:rPr>
                <w:b/>
              </w:rPr>
              <w:t xml:space="preserve"> </w:t>
            </w:r>
            <w:r w:rsidRPr="0055281A">
              <w:t>that have not been</w:t>
            </w:r>
            <w:r>
              <w:rPr>
                <w:b/>
              </w:rPr>
              <w:t xml:space="preserve"> </w:t>
            </w:r>
            <w:r w:rsidRPr="00F771B4">
              <w:t>specified in the statement of financial position provided to the Investors and such statement provides a true and fair view of the Company's position;</w:t>
            </w:r>
            <w:r>
              <w:t xml:space="preserve"> and</w:t>
            </w:r>
          </w:p>
          <w:p w:rsidR="002E4846" w:rsidRPr="00F771B4" w:rsidRDefault="002E4846" w:rsidP="002E4846"/>
          <w:p w:rsidR="002E4846" w:rsidRPr="00F771B4" w:rsidRDefault="002E4846" w:rsidP="002E4846">
            <w:pPr>
              <w:numPr>
                <w:ilvl w:val="0"/>
                <w:numId w:val="11"/>
              </w:numPr>
            </w:pPr>
            <w:proofErr w:type="gramStart"/>
            <w:r w:rsidRPr="00F771B4">
              <w:t>all</w:t>
            </w:r>
            <w:proofErr w:type="gramEnd"/>
            <w:r w:rsidRPr="00F771B4">
              <w:t xml:space="preserve"> information (excluding all forecasts</w:t>
            </w:r>
            <w:r>
              <w:t xml:space="preserve"> and forward looking</w:t>
            </w:r>
            <w:r w:rsidRPr="00F771B4">
              <w:t xml:space="preserve"> information) provided to the Investors is true, accurate and complete in all material respects.</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Pr>
                <w:b/>
              </w:rPr>
              <w:t>Warranty L</w:t>
            </w:r>
            <w:r w:rsidRPr="00F771B4">
              <w:rPr>
                <w:b/>
              </w:rPr>
              <w:t>imitations</w:t>
            </w:r>
          </w:p>
        </w:tc>
        <w:tc>
          <w:tcPr>
            <w:tcW w:w="6057" w:type="dxa"/>
            <w:gridSpan w:val="6"/>
            <w:shd w:val="clear" w:color="auto" w:fill="auto"/>
          </w:tcPr>
          <w:p w:rsidR="002E4846" w:rsidRPr="00F771B4" w:rsidRDefault="002E4846" w:rsidP="002E4846">
            <w:pPr>
              <w:numPr>
                <w:ilvl w:val="0"/>
                <w:numId w:val="11"/>
              </w:numPr>
            </w:pPr>
            <w:r w:rsidRPr="00F771B4">
              <w:t xml:space="preserve">Matters fully and fairly disclosed in a disclosure schedule to the </w:t>
            </w:r>
            <w:r>
              <w:t>subscription agreement</w:t>
            </w:r>
            <w:r w:rsidRPr="00F771B4">
              <w:t>.</w:t>
            </w:r>
          </w:p>
          <w:p w:rsidR="002E4846" w:rsidRPr="00F771B4" w:rsidRDefault="002E4846" w:rsidP="002E4846">
            <w:pPr>
              <w:ind w:left="850"/>
            </w:pPr>
          </w:p>
          <w:p w:rsidR="00107D81" w:rsidRPr="00107D81" w:rsidRDefault="00107D81" w:rsidP="00107D81">
            <w:pPr>
              <w:numPr>
                <w:ilvl w:val="0"/>
                <w:numId w:val="11"/>
              </w:numPr>
            </w:pPr>
            <w:r w:rsidRPr="00107D81">
              <w:t xml:space="preserve">Maximum aggregate liability </w:t>
            </w:r>
            <w:r w:rsidR="00552798">
              <w:t xml:space="preserve">of the Company </w:t>
            </w:r>
            <w:r w:rsidRPr="00107D81">
              <w:t>will be capped at the Investment Amount.</w:t>
            </w:r>
            <w:r w:rsidR="00552798">
              <w:t xml:space="preserve"> </w:t>
            </w:r>
            <w:r w:rsidR="00552798" w:rsidRPr="00552798">
              <w:rPr>
                <w:b/>
              </w:rPr>
              <w:t>[</w:t>
            </w:r>
            <w:r w:rsidR="00552798" w:rsidRPr="006B566A">
              <w:rPr>
                <w:i/>
              </w:rPr>
              <w:t xml:space="preserve">Maximum aggregate liability of </w:t>
            </w:r>
            <w:r w:rsidR="00BF2270" w:rsidRPr="006B566A">
              <w:rPr>
                <w:i/>
              </w:rPr>
              <w:t>each Founder</w:t>
            </w:r>
            <w:r w:rsidR="00552798" w:rsidRPr="006B566A">
              <w:rPr>
                <w:i/>
              </w:rPr>
              <w:t xml:space="preserve"> will be capped at $</w:t>
            </w:r>
            <w:r w:rsidR="00552798" w:rsidRPr="006B566A">
              <w:rPr>
                <w:b/>
                <w:i/>
              </w:rPr>
              <w:t>[</w:t>
            </w:r>
            <w:r w:rsidR="00C92E6C">
              <w:rPr>
                <w:i/>
              </w:rPr>
              <w:t>3</w:t>
            </w:r>
            <w:r w:rsidR="00552798" w:rsidRPr="006B566A">
              <w:rPr>
                <w:i/>
              </w:rPr>
              <w:t>0,000</w:t>
            </w:r>
            <w:r w:rsidR="00552798" w:rsidRPr="006B566A">
              <w:rPr>
                <w:b/>
                <w:i/>
              </w:rPr>
              <w:t>]</w:t>
            </w:r>
            <w:r w:rsidR="00552798" w:rsidRPr="006B566A">
              <w:rPr>
                <w:i/>
              </w:rPr>
              <w:t>.</w:t>
            </w:r>
            <w:r w:rsidR="00552798" w:rsidRPr="00552798">
              <w:rPr>
                <w:b/>
              </w:rPr>
              <w:t>]</w:t>
            </w:r>
            <w:r w:rsidR="00BF2270">
              <w:rPr>
                <w:rStyle w:val="FootnoteReference"/>
                <w:b/>
              </w:rPr>
              <w:footnoteReference w:id="13"/>
            </w:r>
          </w:p>
          <w:p w:rsidR="00107D81" w:rsidRPr="00107D81" w:rsidRDefault="00107D81" w:rsidP="00107D81">
            <w:pPr>
              <w:ind w:left="850"/>
            </w:pPr>
          </w:p>
          <w:p w:rsidR="002E4846" w:rsidRPr="006B566A" w:rsidRDefault="002E4846" w:rsidP="00107D81">
            <w:pPr>
              <w:numPr>
                <w:ilvl w:val="0"/>
                <w:numId w:val="11"/>
              </w:numPr>
            </w:pPr>
            <w:r w:rsidRPr="006B566A">
              <w:t xml:space="preserve">Claims must be notified within </w:t>
            </w:r>
            <w:r w:rsidRPr="006B566A">
              <w:rPr>
                <w:b/>
              </w:rPr>
              <w:t>[</w:t>
            </w:r>
            <w:r w:rsidR="006B566A" w:rsidRPr="006B566A">
              <w:rPr>
                <w:i/>
              </w:rPr>
              <w:t>1</w:t>
            </w:r>
            <w:r w:rsidR="006B566A">
              <w:rPr>
                <w:i/>
              </w:rPr>
              <w:t>2</w:t>
            </w:r>
            <w:r w:rsidRPr="006B566A">
              <w:rPr>
                <w:b/>
              </w:rPr>
              <w:t>]</w:t>
            </w:r>
            <w:r w:rsidRPr="006B566A">
              <w:t xml:space="preserve"> months of the Completion Date.</w:t>
            </w:r>
          </w:p>
          <w:p w:rsidR="002E4846" w:rsidRPr="00F771B4" w:rsidRDefault="002E4846" w:rsidP="00107D81"/>
        </w:tc>
      </w:tr>
      <w:tr w:rsidR="002E4846" w:rsidRPr="00F771B4" w:rsidTr="00114C61">
        <w:tc>
          <w:tcPr>
            <w:tcW w:w="2619" w:type="dxa"/>
            <w:shd w:val="clear" w:color="auto" w:fill="auto"/>
          </w:tcPr>
          <w:p w:rsidR="002E4846" w:rsidRPr="00F771B4" w:rsidRDefault="002E4846" w:rsidP="002E4846">
            <w:pPr>
              <w:jc w:val="left"/>
              <w:rPr>
                <w:b/>
              </w:rPr>
            </w:pPr>
            <w:r>
              <w:rPr>
                <w:b/>
              </w:rPr>
              <w:t xml:space="preserve">Angel Club </w:t>
            </w:r>
            <w:r w:rsidRPr="00F771B4">
              <w:rPr>
                <w:b/>
              </w:rPr>
              <w:t>Transaction Commission</w:t>
            </w:r>
            <w:r>
              <w:rPr>
                <w:rStyle w:val="FootnoteReference"/>
                <w:b/>
              </w:rPr>
              <w:footnoteReference w:id="14"/>
            </w:r>
          </w:p>
        </w:tc>
        <w:tc>
          <w:tcPr>
            <w:tcW w:w="6057" w:type="dxa"/>
            <w:gridSpan w:val="6"/>
            <w:shd w:val="clear" w:color="auto" w:fill="auto"/>
          </w:tcPr>
          <w:p w:rsidR="002E4846" w:rsidRPr="00F771B4" w:rsidRDefault="002E4846" w:rsidP="002E4846">
            <w:r w:rsidRPr="00F771B4">
              <w:t xml:space="preserve">Immediately following </w:t>
            </w:r>
            <w:r>
              <w:t>Completion</w:t>
            </w:r>
            <w:r w:rsidRPr="00F771B4">
              <w:t xml:space="preserve">, the Company will pay a sum equivalent to </w:t>
            </w:r>
            <w:r w:rsidRPr="00F771B4">
              <w:rPr>
                <w:b/>
              </w:rPr>
              <w:t>[</w:t>
            </w:r>
            <w:r w:rsidRPr="00F771B4">
              <w:rPr>
                <w:i/>
              </w:rPr>
              <w:t>insert number</w:t>
            </w:r>
            <w:proofErr w:type="gramStart"/>
            <w:r w:rsidRPr="00F771B4">
              <w:rPr>
                <w:b/>
              </w:rPr>
              <w:t>]</w:t>
            </w:r>
            <w:r w:rsidRPr="00F771B4">
              <w:t>%</w:t>
            </w:r>
            <w:proofErr w:type="gramEnd"/>
            <w:r w:rsidRPr="00F771B4">
              <w:t xml:space="preserve"> (plus GST) of the Investment Amount </w:t>
            </w:r>
            <w:r>
              <w:t xml:space="preserve">invested by </w:t>
            </w:r>
            <w:r w:rsidRPr="0061671E">
              <w:rPr>
                <w:b/>
              </w:rPr>
              <w:t>[</w:t>
            </w:r>
            <w:r>
              <w:rPr>
                <w:i/>
              </w:rPr>
              <w:t>insert names of relevant Angel Club investors</w:t>
            </w:r>
            <w:r w:rsidRPr="0061671E">
              <w:rPr>
                <w:b/>
              </w:rPr>
              <w:t>]</w:t>
            </w:r>
            <w:r>
              <w:t xml:space="preserve"> </w:t>
            </w:r>
            <w:r w:rsidRPr="00F771B4">
              <w:t xml:space="preserve">to </w:t>
            </w:r>
            <w:r w:rsidRPr="00F771B4">
              <w:rPr>
                <w:b/>
              </w:rPr>
              <w:t>[</w:t>
            </w:r>
            <w:r w:rsidRPr="00F771B4">
              <w:rPr>
                <w:i/>
              </w:rPr>
              <w:t xml:space="preserve">insert </w:t>
            </w:r>
            <w:r>
              <w:rPr>
                <w:i/>
              </w:rPr>
              <w:t xml:space="preserve">Angel Club </w:t>
            </w:r>
            <w:r w:rsidRPr="00F771B4">
              <w:rPr>
                <w:i/>
              </w:rPr>
              <w:t>entity</w:t>
            </w:r>
            <w:r w:rsidRPr="00F771B4">
              <w:rPr>
                <w:b/>
              </w:rPr>
              <w:t>]</w:t>
            </w:r>
            <w:r w:rsidRPr="00F771B4">
              <w:t xml:space="preserve">. </w:t>
            </w:r>
            <w:r w:rsidRPr="00F771B4">
              <w:rPr>
                <w:b/>
              </w:rPr>
              <w:t>[</w:t>
            </w:r>
            <w:r>
              <w:rPr>
                <w:i/>
              </w:rPr>
              <w:t>I</w:t>
            </w:r>
            <w:r w:rsidRPr="00F771B4">
              <w:rPr>
                <w:i/>
              </w:rPr>
              <w:t xml:space="preserve">nsert </w:t>
            </w:r>
            <w:r>
              <w:rPr>
                <w:i/>
              </w:rPr>
              <w:t xml:space="preserve">Angel Club </w:t>
            </w:r>
            <w:r w:rsidRPr="00F771B4">
              <w:rPr>
                <w:i/>
              </w:rPr>
              <w:t>entity</w:t>
            </w:r>
            <w:r w:rsidRPr="00F771B4">
              <w:rPr>
                <w:b/>
              </w:rPr>
              <w:t>]</w:t>
            </w:r>
            <w:r>
              <w:rPr>
                <w:b/>
              </w:rPr>
              <w:t xml:space="preserve"> </w:t>
            </w:r>
            <w:r>
              <w:t>may choose to pay its Investment Amount net of its transaction commission</w:t>
            </w:r>
            <w:r w:rsidRPr="00F771B4">
              <w:t>.</w:t>
            </w:r>
          </w:p>
          <w:p w:rsidR="002E4846" w:rsidRPr="00F771B4" w:rsidRDefault="002E4846" w:rsidP="002E4846">
            <w:pPr>
              <w:spacing w:before="40"/>
            </w:pPr>
          </w:p>
        </w:tc>
      </w:tr>
      <w:tr w:rsidR="002E4846" w:rsidRPr="005375AC" w:rsidTr="005375AC">
        <w:tc>
          <w:tcPr>
            <w:tcW w:w="8676" w:type="dxa"/>
            <w:gridSpan w:val="7"/>
            <w:shd w:val="clear" w:color="auto" w:fill="BFBFBF" w:themeFill="background1" w:themeFillShade="BF"/>
          </w:tcPr>
          <w:p w:rsidR="002E4846" w:rsidRDefault="002E4846" w:rsidP="002E4846">
            <w:pPr>
              <w:jc w:val="center"/>
              <w:rPr>
                <w:b/>
              </w:rPr>
            </w:pPr>
            <w:r w:rsidRPr="005375AC">
              <w:rPr>
                <w:b/>
              </w:rPr>
              <w:t>Governance terms</w:t>
            </w:r>
          </w:p>
          <w:p w:rsidR="002E4846" w:rsidRPr="005375AC" w:rsidRDefault="002E4846" w:rsidP="002E4846">
            <w:pPr>
              <w:jc w:val="center"/>
              <w:rPr>
                <w:b/>
              </w:rPr>
            </w:pPr>
          </w:p>
        </w:tc>
      </w:tr>
      <w:tr w:rsidR="002E4846" w:rsidRPr="00F771B4" w:rsidTr="00114C61">
        <w:tc>
          <w:tcPr>
            <w:tcW w:w="2619" w:type="dxa"/>
            <w:shd w:val="clear" w:color="auto" w:fill="auto"/>
          </w:tcPr>
          <w:p w:rsidR="002E4846" w:rsidRPr="00F771B4" w:rsidRDefault="002E4846" w:rsidP="002E4846">
            <w:pPr>
              <w:jc w:val="left"/>
              <w:rPr>
                <w:b/>
              </w:rPr>
            </w:pPr>
            <w:r w:rsidRPr="00F771B4">
              <w:rPr>
                <w:b/>
              </w:rPr>
              <w:t>Business</w:t>
            </w:r>
          </w:p>
        </w:tc>
        <w:tc>
          <w:tcPr>
            <w:tcW w:w="6057" w:type="dxa"/>
            <w:gridSpan w:val="6"/>
            <w:shd w:val="clear" w:color="auto" w:fill="auto"/>
          </w:tcPr>
          <w:p w:rsidR="002E4846" w:rsidRDefault="002E4846" w:rsidP="002E4846">
            <w:r w:rsidRPr="00F771B4">
              <w:t xml:space="preserve">The </w:t>
            </w:r>
            <w:r w:rsidRPr="00F771B4">
              <w:rPr>
                <w:b/>
              </w:rPr>
              <w:t>[</w:t>
            </w:r>
            <w:r w:rsidRPr="00F771B4">
              <w:rPr>
                <w:i/>
              </w:rPr>
              <w:t>proposed</w:t>
            </w:r>
            <w:r w:rsidRPr="00F771B4">
              <w:rPr>
                <w:b/>
              </w:rPr>
              <w:t>]</w:t>
            </w:r>
            <w:r w:rsidRPr="00F771B4">
              <w:t xml:space="preserve"> business of the Company relating to</w:t>
            </w:r>
            <w:r w:rsidRPr="00F771B4">
              <w:rPr>
                <w:i/>
              </w:rPr>
              <w:t xml:space="preserve"> </w:t>
            </w:r>
            <w:r w:rsidRPr="00F771B4">
              <w:rPr>
                <w:b/>
              </w:rPr>
              <w:t>[</w:t>
            </w:r>
            <w:r w:rsidRPr="00F771B4">
              <w:rPr>
                <w:i/>
              </w:rPr>
              <w:t>describe business</w:t>
            </w:r>
            <w:r w:rsidRPr="00F771B4">
              <w:rPr>
                <w:b/>
              </w:rPr>
              <w:t>]</w:t>
            </w:r>
            <w:r w:rsidRPr="00F771B4">
              <w:t xml:space="preserve"> (</w:t>
            </w:r>
            <w:r w:rsidRPr="00F771B4">
              <w:rPr>
                <w:b/>
              </w:rPr>
              <w:t>Business</w:t>
            </w:r>
            <w:r w:rsidRPr="00F771B4">
              <w:t>).</w:t>
            </w:r>
          </w:p>
          <w:p w:rsidR="002E4846" w:rsidRDefault="002E4846" w:rsidP="002E4846"/>
          <w:p w:rsidR="002E4846" w:rsidRPr="00F771B4" w:rsidRDefault="002E4846" w:rsidP="002E4846">
            <w:r>
              <w:t>The Company</w:t>
            </w:r>
            <w:r w:rsidRPr="00F735E2">
              <w:t xml:space="preserve"> will not carry on any business other than the Business without the prior written consent of the Investors</w:t>
            </w:r>
            <w:r>
              <w:t xml:space="preserve">. </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sidRPr="00F771B4">
              <w:rPr>
                <w:b/>
              </w:rPr>
              <w:t xml:space="preserve">Board </w:t>
            </w:r>
            <w:r>
              <w:rPr>
                <w:b/>
              </w:rPr>
              <w:t>C</w:t>
            </w:r>
            <w:r w:rsidRPr="00F771B4">
              <w:rPr>
                <w:b/>
              </w:rPr>
              <w:t>omposition</w:t>
            </w:r>
            <w:r w:rsidRPr="001F2EF2">
              <w:rPr>
                <w:rStyle w:val="FootnoteReference"/>
                <w:b/>
              </w:rPr>
              <w:footnoteReference w:id="15"/>
            </w:r>
          </w:p>
        </w:tc>
        <w:tc>
          <w:tcPr>
            <w:tcW w:w="6057" w:type="dxa"/>
            <w:gridSpan w:val="6"/>
            <w:shd w:val="clear" w:color="auto" w:fill="auto"/>
          </w:tcPr>
          <w:p w:rsidR="002E4846" w:rsidRPr="00F771B4" w:rsidRDefault="002E4846" w:rsidP="002E4846">
            <w:pPr>
              <w:jc w:val="left"/>
            </w:pPr>
            <w:r w:rsidRPr="00F771B4">
              <w:t xml:space="preserve">The Board will consist of a maximum of </w:t>
            </w:r>
            <w:r w:rsidRPr="00F771B4">
              <w:rPr>
                <w:b/>
              </w:rPr>
              <w:t>[</w:t>
            </w:r>
            <w:r w:rsidRPr="00F771B4">
              <w:rPr>
                <w:i/>
              </w:rPr>
              <w:t>insert number</w:t>
            </w:r>
            <w:r w:rsidRPr="00F771B4">
              <w:rPr>
                <w:b/>
              </w:rPr>
              <w:t>]</w:t>
            </w:r>
            <w:r>
              <w:t xml:space="preserve"> D</w:t>
            </w:r>
            <w:r w:rsidRPr="00F771B4">
              <w:t xml:space="preserve">irectors, </w:t>
            </w:r>
            <w:r>
              <w:t>including up to</w:t>
            </w:r>
            <w:r w:rsidRPr="00F771B4">
              <w:t>:</w:t>
            </w:r>
          </w:p>
          <w:p w:rsidR="002E4846" w:rsidRPr="00F771B4" w:rsidRDefault="002E4846" w:rsidP="002E4846">
            <w:pPr>
              <w:jc w:val="left"/>
            </w:pPr>
          </w:p>
          <w:p w:rsidR="002E4846" w:rsidRPr="00F771B4" w:rsidRDefault="002E4846" w:rsidP="002E4846">
            <w:pPr>
              <w:numPr>
                <w:ilvl w:val="0"/>
                <w:numId w:val="9"/>
              </w:numPr>
            </w:pPr>
            <w:r w:rsidRPr="00F771B4">
              <w:rPr>
                <w:b/>
              </w:rPr>
              <w:t>[</w:t>
            </w:r>
            <w:r w:rsidRPr="00F771B4">
              <w:rPr>
                <w:i/>
              </w:rPr>
              <w:t>insert number</w:t>
            </w:r>
            <w:r w:rsidRPr="00F771B4">
              <w:rPr>
                <w:b/>
              </w:rPr>
              <w:t>]</w:t>
            </w:r>
            <w:r w:rsidRPr="00F771B4">
              <w:t xml:space="preserve"> Founder/</w:t>
            </w:r>
            <w:r>
              <w:t>Existing Shareholder</w:t>
            </w:r>
            <w:r w:rsidRPr="00F771B4">
              <w:t>s Director</w:t>
            </w:r>
            <w:r w:rsidRPr="00F771B4">
              <w:rPr>
                <w:b/>
              </w:rPr>
              <w:t>[</w:t>
            </w:r>
            <w:r w:rsidRPr="00F771B4">
              <w:rPr>
                <w:i/>
              </w:rPr>
              <w:t>s</w:t>
            </w:r>
            <w:r w:rsidRPr="00F771B4">
              <w:rPr>
                <w:b/>
              </w:rPr>
              <w:t>]</w:t>
            </w:r>
          </w:p>
          <w:p w:rsidR="002E4846" w:rsidRPr="00F771B4" w:rsidRDefault="002E4846" w:rsidP="002E4846">
            <w:pPr>
              <w:numPr>
                <w:ilvl w:val="0"/>
                <w:numId w:val="9"/>
              </w:numPr>
            </w:pPr>
            <w:r w:rsidRPr="00F771B4">
              <w:rPr>
                <w:b/>
              </w:rPr>
              <w:t>[</w:t>
            </w:r>
            <w:r w:rsidRPr="00F771B4">
              <w:rPr>
                <w:i/>
              </w:rPr>
              <w:t>insert number</w:t>
            </w:r>
            <w:r w:rsidRPr="00F771B4">
              <w:rPr>
                <w:b/>
              </w:rPr>
              <w:t>]</w:t>
            </w:r>
            <w:r w:rsidRPr="00F771B4">
              <w:t xml:space="preserve"> Investor Director</w:t>
            </w:r>
            <w:r w:rsidRPr="00F771B4">
              <w:rPr>
                <w:b/>
              </w:rPr>
              <w:t>[</w:t>
            </w:r>
            <w:r w:rsidRPr="00F771B4">
              <w:rPr>
                <w:i/>
              </w:rPr>
              <w:t>s</w:t>
            </w:r>
            <w:r w:rsidRPr="00F771B4">
              <w:rPr>
                <w:b/>
              </w:rPr>
              <w:t>]</w:t>
            </w:r>
            <w:r>
              <w:rPr>
                <w:b/>
              </w:rPr>
              <w:t xml:space="preserve"> [</w:t>
            </w:r>
            <w:r>
              <w:rPr>
                <w:i/>
              </w:rPr>
              <w:t xml:space="preserve">during any period the Investors hold at least </w:t>
            </w:r>
            <w:r w:rsidRPr="00F87A76">
              <w:rPr>
                <w:b/>
                <w:i/>
              </w:rPr>
              <w:t>[</w:t>
            </w:r>
            <w:r>
              <w:rPr>
                <w:i/>
              </w:rPr>
              <w:t>insert</w:t>
            </w:r>
            <w:r w:rsidRPr="00F87A76">
              <w:rPr>
                <w:b/>
                <w:i/>
              </w:rPr>
              <w:t>]</w:t>
            </w:r>
            <w:r>
              <w:rPr>
                <w:i/>
              </w:rPr>
              <w:t>% of the issued shares in the Company</w:t>
            </w:r>
            <w:r>
              <w:rPr>
                <w:b/>
              </w:rPr>
              <w:t>]</w:t>
            </w:r>
          </w:p>
          <w:p w:rsidR="002E4846" w:rsidRPr="00F771B4" w:rsidRDefault="002E4846" w:rsidP="002E4846"/>
          <w:p w:rsidR="002E4846" w:rsidRDefault="002E4846" w:rsidP="002E4846">
            <w:r w:rsidRPr="00F771B4">
              <w:t>Founder/</w:t>
            </w:r>
            <w:r>
              <w:t>Existing Shareholder</w:t>
            </w:r>
            <w:r w:rsidRPr="00F771B4">
              <w:t>s Director</w:t>
            </w:r>
            <w:r w:rsidRPr="00F771B4">
              <w:rPr>
                <w:b/>
              </w:rPr>
              <w:t>[</w:t>
            </w:r>
            <w:r w:rsidRPr="00F771B4">
              <w:rPr>
                <w:i/>
              </w:rPr>
              <w:t>s</w:t>
            </w:r>
            <w:r w:rsidRPr="00F771B4">
              <w:rPr>
                <w:b/>
              </w:rPr>
              <w:t>]</w:t>
            </w:r>
            <w:r w:rsidRPr="00F771B4">
              <w:t xml:space="preserve"> shall be appointed, removed, replaced by a majority of Founder/</w:t>
            </w:r>
            <w:r>
              <w:t>Existing Shareholder</w:t>
            </w:r>
            <w:r w:rsidRPr="00F771B4">
              <w:t>s (based on shares held).</w:t>
            </w:r>
          </w:p>
          <w:p w:rsidR="002E4846" w:rsidRPr="00F771B4" w:rsidRDefault="002E4846" w:rsidP="002E4846"/>
          <w:p w:rsidR="002E4846" w:rsidRPr="00F771B4" w:rsidRDefault="002E4846" w:rsidP="002E4846">
            <w:r w:rsidRPr="00F771B4">
              <w:t>Investor Director</w:t>
            </w:r>
            <w:r w:rsidRPr="00F771B4">
              <w:rPr>
                <w:b/>
              </w:rPr>
              <w:t>[</w:t>
            </w:r>
            <w:r w:rsidRPr="00F771B4">
              <w:rPr>
                <w:i/>
              </w:rPr>
              <w:t>s</w:t>
            </w:r>
            <w:r w:rsidRPr="00F771B4">
              <w:rPr>
                <w:b/>
              </w:rPr>
              <w:t>]</w:t>
            </w:r>
            <w:r w:rsidRPr="00F771B4">
              <w:t xml:space="preserve"> shall be appointed, removed, replaced by a majority of Investors (based on shares held).</w:t>
            </w:r>
          </w:p>
          <w:p w:rsidR="002E4846" w:rsidRPr="00F771B4" w:rsidRDefault="002E4846" w:rsidP="002E4846"/>
          <w:p w:rsidR="002E4846" w:rsidRPr="00F771B4" w:rsidRDefault="002E4846" w:rsidP="002E4846">
            <w:r w:rsidRPr="00F771B4">
              <w:t xml:space="preserve">As and when there is a need for additional </w:t>
            </w:r>
            <w:r>
              <w:t>D</w:t>
            </w:r>
            <w:r w:rsidRPr="00F771B4">
              <w:t xml:space="preserve">irectors, additional </w:t>
            </w:r>
            <w:r>
              <w:t>D</w:t>
            </w:r>
            <w:r w:rsidRPr="00F771B4">
              <w:t xml:space="preserve">irectors may be appointed, removed, replaced by </w:t>
            </w:r>
            <w:r w:rsidRPr="00F771B4">
              <w:rPr>
                <w:b/>
              </w:rPr>
              <w:t>[</w:t>
            </w:r>
            <w:r w:rsidRPr="00F771B4">
              <w:rPr>
                <w:i/>
              </w:rPr>
              <w:t>the Investor Director</w:t>
            </w:r>
            <w:r w:rsidRPr="00F771B4">
              <w:rPr>
                <w:b/>
                <w:i/>
              </w:rPr>
              <w:t>[</w:t>
            </w:r>
            <w:r w:rsidRPr="00F771B4">
              <w:rPr>
                <w:i/>
              </w:rPr>
              <w:t>s</w:t>
            </w:r>
            <w:r w:rsidRPr="00F771B4">
              <w:rPr>
                <w:b/>
                <w:i/>
              </w:rPr>
              <w:t>]</w:t>
            </w:r>
            <w:r w:rsidRPr="00F771B4">
              <w:rPr>
                <w:i/>
              </w:rPr>
              <w:t xml:space="preserve"> and Founder/</w:t>
            </w:r>
            <w:r>
              <w:rPr>
                <w:i/>
              </w:rPr>
              <w:t>Existing Shareholder</w:t>
            </w:r>
            <w:r w:rsidRPr="00F771B4">
              <w:rPr>
                <w:i/>
              </w:rPr>
              <w:t>s Director</w:t>
            </w:r>
            <w:r w:rsidRPr="00F771B4">
              <w:rPr>
                <w:b/>
                <w:i/>
              </w:rPr>
              <w:t>[</w:t>
            </w:r>
            <w:r w:rsidRPr="00F771B4">
              <w:rPr>
                <w:i/>
              </w:rPr>
              <w:t>s</w:t>
            </w:r>
            <w:r w:rsidRPr="00F771B4">
              <w:rPr>
                <w:b/>
                <w:i/>
              </w:rPr>
              <w:t>]</w:t>
            </w:r>
            <w:r w:rsidRPr="00F771B4">
              <w:rPr>
                <w:i/>
              </w:rPr>
              <w:t xml:space="preserve"> </w:t>
            </w:r>
            <w:r w:rsidR="00107D81" w:rsidRPr="00107D81">
              <w:rPr>
                <w:b/>
                <w:i/>
              </w:rPr>
              <w:t>[</w:t>
            </w:r>
            <w:r w:rsidRPr="00107D81">
              <w:rPr>
                <w:i/>
              </w:rPr>
              <w:t>OR</w:t>
            </w:r>
            <w:r w:rsidR="00107D81">
              <w:rPr>
                <w:b/>
                <w:i/>
              </w:rPr>
              <w:t>]</w:t>
            </w:r>
            <w:r w:rsidRPr="00F771B4">
              <w:t xml:space="preserve"> </w:t>
            </w:r>
            <w:r w:rsidRPr="00F771B4">
              <w:rPr>
                <w:i/>
              </w:rPr>
              <w:t>ordinary shareholder resolution</w:t>
            </w:r>
            <w:r w:rsidRPr="00F771B4">
              <w:rPr>
                <w:b/>
              </w:rPr>
              <w:t>]</w:t>
            </w:r>
            <w:r w:rsidRPr="00F771B4">
              <w:t>.</w:t>
            </w:r>
          </w:p>
          <w:p w:rsidR="002E4846" w:rsidRPr="00F771B4" w:rsidRDefault="002E4846" w:rsidP="002E4846"/>
          <w:p w:rsidR="002E4846" w:rsidRPr="00F771B4" w:rsidRDefault="002E4846" w:rsidP="002E4846">
            <w:r w:rsidRPr="00F771B4">
              <w:t xml:space="preserve">The Chairperson will be appointed, removed, or replaced </w:t>
            </w:r>
            <w:r w:rsidRPr="00F771B4">
              <w:rPr>
                <w:b/>
              </w:rPr>
              <w:t>[</w:t>
            </w:r>
            <w:r w:rsidRPr="00F771B4">
              <w:rPr>
                <w:i/>
              </w:rPr>
              <w:t>by a majority of the Board</w:t>
            </w:r>
            <w:r w:rsidRPr="004B5EF5">
              <w:rPr>
                <w:b/>
              </w:rPr>
              <w:t>]</w:t>
            </w:r>
            <w:r w:rsidRPr="00F771B4">
              <w:t xml:space="preserve">, and shall </w:t>
            </w:r>
            <w:r>
              <w:t>not</w:t>
            </w:r>
            <w:r w:rsidRPr="00F771B4">
              <w:t xml:space="preserve"> have a casting vote.</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sidRPr="00F771B4">
              <w:rPr>
                <w:b/>
              </w:rPr>
              <w:t>Initial Directors and Chairperson</w:t>
            </w:r>
          </w:p>
          <w:p w:rsidR="002E4846" w:rsidRPr="00F771B4" w:rsidRDefault="002E4846" w:rsidP="002E4846">
            <w:pPr>
              <w:jc w:val="left"/>
              <w:rPr>
                <w:b/>
              </w:rPr>
            </w:pPr>
          </w:p>
        </w:tc>
        <w:tc>
          <w:tcPr>
            <w:tcW w:w="6057" w:type="dxa"/>
            <w:gridSpan w:val="6"/>
            <w:shd w:val="clear" w:color="auto" w:fill="auto"/>
          </w:tcPr>
          <w:p w:rsidR="002E4846" w:rsidRPr="00F771B4" w:rsidRDefault="002E4846" w:rsidP="002E4846">
            <w:r w:rsidRPr="00F771B4">
              <w:t>The initial</w:t>
            </w:r>
            <w:r>
              <w:t xml:space="preserve"> D</w:t>
            </w:r>
            <w:r w:rsidRPr="00F771B4">
              <w:t xml:space="preserve">irectors shall be: </w:t>
            </w:r>
          </w:p>
          <w:p w:rsidR="002E4846" w:rsidRPr="00F771B4" w:rsidRDefault="002E4846" w:rsidP="002E4846"/>
          <w:p w:rsidR="002E4846" w:rsidRDefault="002E4846" w:rsidP="002E4846">
            <w:pPr>
              <w:numPr>
                <w:ilvl w:val="0"/>
                <w:numId w:val="9"/>
              </w:numPr>
            </w:pPr>
            <w:r w:rsidRPr="00F771B4">
              <w:t>Founder/</w:t>
            </w:r>
            <w:r>
              <w:t>Existing Shareholder</w:t>
            </w:r>
            <w:r w:rsidRPr="00F771B4">
              <w:t>s Director</w:t>
            </w:r>
            <w:r w:rsidRPr="00F771B4">
              <w:rPr>
                <w:b/>
              </w:rPr>
              <w:t>[</w:t>
            </w:r>
            <w:r w:rsidRPr="00F771B4">
              <w:t>s</w:t>
            </w:r>
            <w:r w:rsidRPr="00F771B4">
              <w:rPr>
                <w:b/>
              </w:rPr>
              <w:t>]</w:t>
            </w:r>
            <w:r w:rsidRPr="00F771B4">
              <w:t xml:space="preserve">: </w:t>
            </w:r>
            <w:r w:rsidRPr="00F771B4">
              <w:rPr>
                <w:b/>
              </w:rPr>
              <w:t>[</w:t>
            </w:r>
            <w:r w:rsidRPr="00F771B4">
              <w:rPr>
                <w:i/>
              </w:rPr>
              <w:t>insert name</w:t>
            </w:r>
            <w:r w:rsidRPr="00F771B4">
              <w:rPr>
                <w:b/>
                <w:i/>
              </w:rPr>
              <w:t>[</w:t>
            </w:r>
            <w:r w:rsidRPr="00F771B4">
              <w:rPr>
                <w:i/>
              </w:rPr>
              <w:t>s</w:t>
            </w:r>
            <w:r w:rsidRPr="00F771B4">
              <w:rPr>
                <w:b/>
                <w:i/>
              </w:rPr>
              <w:t>]</w:t>
            </w:r>
            <w:r w:rsidRPr="00F771B4">
              <w:rPr>
                <w:b/>
              </w:rPr>
              <w:t>]</w:t>
            </w:r>
            <w:r w:rsidRPr="00F771B4">
              <w:t xml:space="preserve"> </w:t>
            </w:r>
          </w:p>
          <w:p w:rsidR="002E4846" w:rsidRPr="00F771B4" w:rsidRDefault="002E4846" w:rsidP="002E4846">
            <w:pPr>
              <w:numPr>
                <w:ilvl w:val="0"/>
                <w:numId w:val="9"/>
              </w:numPr>
            </w:pPr>
            <w:r w:rsidRPr="00F771B4">
              <w:t>Investor Director</w:t>
            </w:r>
            <w:r w:rsidRPr="00F771B4">
              <w:rPr>
                <w:b/>
              </w:rPr>
              <w:t>[</w:t>
            </w:r>
            <w:r w:rsidRPr="00F771B4">
              <w:rPr>
                <w:i/>
              </w:rPr>
              <w:t>s</w:t>
            </w:r>
            <w:r w:rsidRPr="00F771B4">
              <w:rPr>
                <w:b/>
              </w:rPr>
              <w:t>]</w:t>
            </w:r>
            <w:r w:rsidRPr="00F771B4">
              <w:t xml:space="preserve">: </w:t>
            </w:r>
            <w:r w:rsidRPr="00F771B4">
              <w:rPr>
                <w:b/>
              </w:rPr>
              <w:t>[</w:t>
            </w:r>
            <w:r w:rsidRPr="00F771B4">
              <w:rPr>
                <w:i/>
              </w:rPr>
              <w:t>insert name</w:t>
            </w:r>
            <w:r w:rsidRPr="00F771B4">
              <w:rPr>
                <w:b/>
                <w:i/>
              </w:rPr>
              <w:t>[</w:t>
            </w:r>
            <w:r w:rsidRPr="00F771B4">
              <w:rPr>
                <w:i/>
              </w:rPr>
              <w:t>s</w:t>
            </w:r>
            <w:r w:rsidRPr="00F771B4">
              <w:rPr>
                <w:b/>
                <w:i/>
              </w:rPr>
              <w:t>]</w:t>
            </w:r>
            <w:r w:rsidRPr="00F771B4">
              <w:rPr>
                <w:b/>
              </w:rPr>
              <w:t>]</w:t>
            </w:r>
          </w:p>
          <w:p w:rsidR="002E4846" w:rsidRPr="00F771B4" w:rsidRDefault="002E4846" w:rsidP="002E4846"/>
          <w:p w:rsidR="002E4846" w:rsidRPr="00F771B4" w:rsidRDefault="002E4846" w:rsidP="002E4846">
            <w:r w:rsidRPr="00F771B4">
              <w:t xml:space="preserve">The Chairperson shall initially be: </w:t>
            </w:r>
            <w:r w:rsidRPr="00F771B4">
              <w:rPr>
                <w:b/>
              </w:rPr>
              <w:t>[</w:t>
            </w:r>
            <w:r w:rsidRPr="00F771B4">
              <w:rPr>
                <w:i/>
              </w:rPr>
              <w:t>insert name</w:t>
            </w:r>
            <w:r w:rsidRPr="00F771B4">
              <w:rPr>
                <w:b/>
              </w:rPr>
              <w:t>]</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sidRPr="00F771B4">
              <w:rPr>
                <w:b/>
              </w:rPr>
              <w:t>Other Board Provisions</w:t>
            </w:r>
          </w:p>
        </w:tc>
        <w:tc>
          <w:tcPr>
            <w:tcW w:w="6057" w:type="dxa"/>
            <w:gridSpan w:val="6"/>
            <w:shd w:val="clear" w:color="auto" w:fill="auto"/>
          </w:tcPr>
          <w:p w:rsidR="002E4846" w:rsidRDefault="002E4846" w:rsidP="002E4846">
            <w:r w:rsidRPr="00F771B4">
              <w:t xml:space="preserve">The Board will meet </w:t>
            </w:r>
            <w:r w:rsidRPr="00F771B4">
              <w:rPr>
                <w:b/>
              </w:rPr>
              <w:t>[</w:t>
            </w:r>
            <w:r w:rsidRPr="00F771B4">
              <w:rPr>
                <w:i/>
              </w:rPr>
              <w:t>monthly</w:t>
            </w:r>
            <w:proofErr w:type="gramStart"/>
            <w:r w:rsidRPr="00F771B4">
              <w:rPr>
                <w:b/>
              </w:rPr>
              <w:t>][</w:t>
            </w:r>
            <w:proofErr w:type="gramEnd"/>
            <w:r w:rsidRPr="00F771B4">
              <w:rPr>
                <w:i/>
              </w:rPr>
              <w:t>bi-monthly</w:t>
            </w:r>
            <w:r w:rsidRPr="00F771B4">
              <w:rPr>
                <w:b/>
              </w:rPr>
              <w:t>][</w:t>
            </w:r>
            <w:r w:rsidRPr="00F771B4">
              <w:rPr>
                <w:i/>
              </w:rPr>
              <w:t>six weekly</w:t>
            </w:r>
            <w:r w:rsidRPr="00F771B4">
              <w:rPr>
                <w:b/>
              </w:rPr>
              <w:t>]</w:t>
            </w:r>
            <w:r w:rsidRPr="00F771B4">
              <w:t>.</w:t>
            </w:r>
          </w:p>
          <w:p w:rsidR="002E4846" w:rsidRPr="00F771B4" w:rsidRDefault="002E4846" w:rsidP="002E4846"/>
          <w:p w:rsidR="002E4846" w:rsidRDefault="002E4846" w:rsidP="002E4846">
            <w:pPr>
              <w:rPr>
                <w:b/>
              </w:rPr>
            </w:pPr>
            <w:r w:rsidRPr="00C11CA4">
              <w:rPr>
                <w:b/>
              </w:rPr>
              <w:t>[</w:t>
            </w:r>
            <w:r>
              <w:rPr>
                <w:i/>
              </w:rPr>
              <w:t>No Directors' fees will be paid</w:t>
            </w:r>
            <w:r w:rsidRPr="00F771B4">
              <w:rPr>
                <w:i/>
              </w:rPr>
              <w:t xml:space="preserve"> </w:t>
            </w:r>
            <w:r w:rsidRPr="00F771B4">
              <w:rPr>
                <w:b/>
                <w:i/>
              </w:rPr>
              <w:t>[</w:t>
            </w:r>
            <w:r w:rsidRPr="00F771B4">
              <w:rPr>
                <w:i/>
              </w:rPr>
              <w:t xml:space="preserve">until at least </w:t>
            </w:r>
            <w:r w:rsidRPr="00F771B4">
              <w:rPr>
                <w:b/>
                <w:i/>
              </w:rPr>
              <w:t>[</w:t>
            </w:r>
            <w:r w:rsidRPr="00F771B4">
              <w:rPr>
                <w:i/>
              </w:rPr>
              <w:t>insert number</w:t>
            </w:r>
            <w:r w:rsidRPr="00F771B4">
              <w:rPr>
                <w:b/>
                <w:i/>
              </w:rPr>
              <w:t>]</w:t>
            </w:r>
            <w:r w:rsidRPr="00F771B4">
              <w:rPr>
                <w:i/>
              </w:rPr>
              <w:t xml:space="preserve"> years after Completion</w:t>
            </w:r>
            <w:r w:rsidRPr="00F771B4">
              <w:rPr>
                <w:b/>
                <w:i/>
              </w:rPr>
              <w:t>]</w:t>
            </w:r>
            <w:r w:rsidRPr="00F771B4">
              <w:rPr>
                <w:i/>
              </w:rPr>
              <w:t xml:space="preserve"> unless authorised by a Special R</w:t>
            </w:r>
            <w:r>
              <w:rPr>
                <w:i/>
              </w:rPr>
              <w:t>esolution of Shareholders.</w:t>
            </w:r>
            <w:r w:rsidRPr="00C11CA4">
              <w:rPr>
                <w:b/>
              </w:rPr>
              <w:t>]</w:t>
            </w:r>
          </w:p>
          <w:p w:rsidR="002E4846" w:rsidRPr="00F771B4" w:rsidRDefault="002E4846" w:rsidP="002E4846">
            <w:pPr>
              <w:rPr>
                <w:i/>
              </w:rPr>
            </w:pPr>
          </w:p>
          <w:p w:rsidR="002E4846" w:rsidRPr="00F771B4" w:rsidRDefault="002E4846" w:rsidP="002E4846">
            <w:r w:rsidRPr="00F771B4">
              <w:rPr>
                <w:b/>
              </w:rPr>
              <w:t>[</w:t>
            </w:r>
            <w:r w:rsidRPr="00F771B4">
              <w:rPr>
                <w:b/>
                <w:i/>
              </w:rPr>
              <w:t>or</w:t>
            </w:r>
            <w:r w:rsidRPr="00F771B4">
              <w:rPr>
                <w:b/>
              </w:rPr>
              <w:t>]</w:t>
            </w:r>
          </w:p>
          <w:p w:rsidR="002E4846" w:rsidRPr="00F771B4" w:rsidRDefault="002E4846" w:rsidP="002E4846"/>
          <w:p w:rsidR="002E4846" w:rsidRPr="0061671E" w:rsidRDefault="002E4846" w:rsidP="002E4846">
            <w:pPr>
              <w:pStyle w:val="ListParagraph"/>
              <w:numPr>
                <w:ilvl w:val="0"/>
                <w:numId w:val="28"/>
              </w:numPr>
              <w:ind w:left="934" w:hanging="934"/>
              <w:rPr>
                <w:b/>
                <w:i/>
              </w:rPr>
            </w:pPr>
            <w:r w:rsidRPr="0061671E">
              <w:rPr>
                <w:b/>
                <w:i/>
              </w:rPr>
              <w:t>[</w:t>
            </w:r>
            <w:r w:rsidRPr="0061671E">
              <w:rPr>
                <w:i/>
              </w:rPr>
              <w:t>The Chairperson will be paid $</w:t>
            </w:r>
            <w:r w:rsidRPr="0061671E">
              <w:rPr>
                <w:b/>
                <w:i/>
              </w:rPr>
              <w:t>[</w:t>
            </w:r>
            <w:r w:rsidRPr="0061671E">
              <w:rPr>
                <w:i/>
              </w:rPr>
              <w:t>insert amount</w:t>
            </w:r>
            <w:r w:rsidRPr="0061671E">
              <w:rPr>
                <w:b/>
                <w:i/>
              </w:rPr>
              <w:t>]</w:t>
            </w:r>
            <w:r w:rsidRPr="0061671E">
              <w:rPr>
                <w:i/>
              </w:rPr>
              <w:t xml:space="preserve"> per annum/meeting</w:t>
            </w:r>
            <w:r w:rsidRPr="0061671E">
              <w:rPr>
                <w:b/>
                <w:i/>
              </w:rPr>
              <w:t>]</w:t>
            </w:r>
            <w:r>
              <w:rPr>
                <w:i/>
              </w:rPr>
              <w:t>.</w:t>
            </w:r>
          </w:p>
          <w:p w:rsidR="002E4846" w:rsidRPr="0061671E" w:rsidRDefault="002E4846" w:rsidP="002E4846">
            <w:pPr>
              <w:pStyle w:val="ListParagraph"/>
              <w:numPr>
                <w:ilvl w:val="0"/>
                <w:numId w:val="28"/>
              </w:numPr>
              <w:ind w:left="934" w:hanging="934"/>
              <w:rPr>
                <w:b/>
                <w:i/>
              </w:rPr>
            </w:pPr>
            <w:r w:rsidRPr="0061671E">
              <w:rPr>
                <w:b/>
                <w:i/>
              </w:rPr>
              <w:t>[</w:t>
            </w:r>
            <w:r w:rsidRPr="0061671E">
              <w:rPr>
                <w:i/>
              </w:rPr>
              <w:t>Any independent Directors will be paid $</w:t>
            </w:r>
            <w:r w:rsidRPr="0061671E">
              <w:rPr>
                <w:b/>
                <w:i/>
              </w:rPr>
              <w:t>[</w:t>
            </w:r>
            <w:r w:rsidRPr="0061671E">
              <w:rPr>
                <w:i/>
              </w:rPr>
              <w:t>insert amount</w:t>
            </w:r>
            <w:r w:rsidRPr="0061671E">
              <w:rPr>
                <w:b/>
                <w:i/>
              </w:rPr>
              <w:t>]</w:t>
            </w:r>
            <w:r w:rsidRPr="0061671E">
              <w:rPr>
                <w:i/>
              </w:rPr>
              <w:t xml:space="preserve"> per </w:t>
            </w:r>
            <w:r w:rsidRPr="0061671E">
              <w:rPr>
                <w:b/>
                <w:i/>
              </w:rPr>
              <w:t>[</w:t>
            </w:r>
            <w:r w:rsidRPr="0061671E">
              <w:rPr>
                <w:i/>
              </w:rPr>
              <w:t>annum/meeting</w:t>
            </w:r>
            <w:r w:rsidRPr="0061671E">
              <w:rPr>
                <w:b/>
                <w:i/>
              </w:rPr>
              <w:t>]</w:t>
            </w:r>
          </w:p>
          <w:p w:rsidR="002E4846" w:rsidRPr="0061671E" w:rsidRDefault="002E4846" w:rsidP="002E4846">
            <w:pPr>
              <w:pStyle w:val="ListParagraph"/>
              <w:numPr>
                <w:ilvl w:val="0"/>
                <w:numId w:val="28"/>
              </w:numPr>
              <w:ind w:left="934" w:hanging="934"/>
              <w:rPr>
                <w:b/>
                <w:i/>
              </w:rPr>
            </w:pPr>
            <w:r w:rsidRPr="0061671E">
              <w:rPr>
                <w:b/>
                <w:i/>
              </w:rPr>
              <w:t>[</w:t>
            </w:r>
            <w:r>
              <w:rPr>
                <w:i/>
              </w:rPr>
              <w:t>T</w:t>
            </w:r>
            <w:r w:rsidRPr="0061671E">
              <w:rPr>
                <w:i/>
              </w:rPr>
              <w:t xml:space="preserve">he </w:t>
            </w:r>
            <w:r w:rsidRPr="0061671E">
              <w:rPr>
                <w:b/>
                <w:i/>
              </w:rPr>
              <w:t>[</w:t>
            </w:r>
            <w:r w:rsidRPr="0061671E">
              <w:rPr>
                <w:i/>
              </w:rPr>
              <w:t>Investor</w:t>
            </w:r>
            <w:r w:rsidRPr="0061671E">
              <w:rPr>
                <w:b/>
                <w:i/>
              </w:rPr>
              <w:t>]</w:t>
            </w:r>
            <w:r w:rsidRPr="0061671E">
              <w:rPr>
                <w:i/>
              </w:rPr>
              <w:t xml:space="preserve"> </w:t>
            </w:r>
            <w:r w:rsidRPr="0061671E">
              <w:rPr>
                <w:b/>
                <w:i/>
              </w:rPr>
              <w:t>[</w:t>
            </w:r>
            <w:r w:rsidRPr="0061671E">
              <w:rPr>
                <w:i/>
              </w:rPr>
              <w:t>other</w:t>
            </w:r>
            <w:r w:rsidRPr="0061671E">
              <w:rPr>
                <w:b/>
                <w:i/>
              </w:rPr>
              <w:t>]</w:t>
            </w:r>
            <w:r w:rsidRPr="0061671E">
              <w:rPr>
                <w:i/>
              </w:rPr>
              <w:t xml:space="preserve"> Directors will be paid $</w:t>
            </w:r>
            <w:r w:rsidRPr="0061671E">
              <w:rPr>
                <w:b/>
                <w:i/>
              </w:rPr>
              <w:t>[</w:t>
            </w:r>
            <w:r w:rsidRPr="0061671E">
              <w:rPr>
                <w:i/>
              </w:rPr>
              <w:t>insert amount</w:t>
            </w:r>
            <w:r w:rsidRPr="0061671E">
              <w:rPr>
                <w:b/>
                <w:i/>
              </w:rPr>
              <w:t>]</w:t>
            </w:r>
            <w:r w:rsidRPr="0061671E">
              <w:rPr>
                <w:i/>
              </w:rPr>
              <w:t xml:space="preserve"> per </w:t>
            </w:r>
            <w:r w:rsidRPr="0061671E">
              <w:rPr>
                <w:b/>
                <w:i/>
              </w:rPr>
              <w:t>[</w:t>
            </w:r>
            <w:r w:rsidRPr="0061671E">
              <w:rPr>
                <w:i/>
              </w:rPr>
              <w:t>annum/meeting</w:t>
            </w:r>
            <w:r w:rsidRPr="0061671E">
              <w:rPr>
                <w:b/>
                <w:i/>
              </w:rPr>
              <w:t>]</w:t>
            </w:r>
            <w:r w:rsidRPr="0061671E">
              <w:rPr>
                <w:i/>
              </w:rPr>
              <w:t xml:space="preserve"> </w:t>
            </w:r>
          </w:p>
          <w:p w:rsidR="002E4846" w:rsidRPr="00F71D10" w:rsidRDefault="002E4846" w:rsidP="002E4846">
            <w:pPr>
              <w:rPr>
                <w:b/>
                <w:i/>
              </w:rPr>
            </w:pPr>
            <w:r w:rsidRPr="0061671E">
              <w:rPr>
                <w:b/>
                <w:i/>
              </w:rPr>
              <w:t>[</w:t>
            </w:r>
            <w:proofErr w:type="gramStart"/>
            <w:r w:rsidRPr="0061671E">
              <w:rPr>
                <w:i/>
              </w:rPr>
              <w:t>but</w:t>
            </w:r>
            <w:proofErr w:type="gramEnd"/>
            <w:r w:rsidRPr="0061671E">
              <w:rPr>
                <w:i/>
              </w:rPr>
              <w:t xml:space="preserve"> otherwise attendance at Board meetings will not be remunerated</w:t>
            </w:r>
            <w:r w:rsidRPr="0061671E">
              <w:rPr>
                <w:b/>
                <w:i/>
              </w:rPr>
              <w:t>]</w:t>
            </w:r>
            <w:r w:rsidRPr="0061671E">
              <w:rPr>
                <w:i/>
              </w:rPr>
              <w:t>.</w:t>
            </w:r>
            <w:r w:rsidRPr="0061671E">
              <w:rPr>
                <w:b/>
                <w:i/>
              </w:rPr>
              <w:t xml:space="preserve"> </w:t>
            </w:r>
          </w:p>
          <w:p w:rsidR="002E4846" w:rsidRDefault="002E4846" w:rsidP="002E4846"/>
          <w:p w:rsidR="002E4846" w:rsidRDefault="002E4846" w:rsidP="002E4846">
            <w:r>
              <w:t xml:space="preserve">Nothing set out above is intended to exclude directors from </w:t>
            </w:r>
            <w:r w:rsidR="00107D81">
              <w:t>participating</w:t>
            </w:r>
            <w:r>
              <w:t xml:space="preserve"> in a </w:t>
            </w:r>
            <w:r w:rsidR="0049445C">
              <w:t>Share Scheme</w:t>
            </w:r>
            <w:r>
              <w:t xml:space="preserve">. </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Pr>
                <w:b/>
              </w:rPr>
              <w:t>Board A</w:t>
            </w:r>
            <w:r w:rsidRPr="00F771B4">
              <w:rPr>
                <w:b/>
              </w:rPr>
              <w:t>pprovals</w:t>
            </w:r>
          </w:p>
        </w:tc>
        <w:tc>
          <w:tcPr>
            <w:tcW w:w="6057" w:type="dxa"/>
            <w:gridSpan w:val="6"/>
            <w:shd w:val="clear" w:color="auto" w:fill="auto"/>
          </w:tcPr>
          <w:p w:rsidR="002E4846" w:rsidRPr="00F771B4" w:rsidRDefault="002E4846" w:rsidP="002E4846">
            <w:r w:rsidRPr="00F771B4">
              <w:t>The following items require Board approval, and such approval will require the support of the Investor Director(s):</w:t>
            </w:r>
          </w:p>
          <w:p w:rsidR="002E4846" w:rsidRPr="00F771B4" w:rsidRDefault="002E4846" w:rsidP="002E4846"/>
          <w:p w:rsidR="002E4846" w:rsidRPr="00F71D10" w:rsidRDefault="002E4846" w:rsidP="002E4846">
            <w:pPr>
              <w:numPr>
                <w:ilvl w:val="0"/>
                <w:numId w:val="9"/>
              </w:numPr>
              <w:rPr>
                <w:i/>
              </w:rPr>
            </w:pPr>
            <w:r w:rsidRPr="00F71D10">
              <w:rPr>
                <w:b/>
                <w:i/>
              </w:rPr>
              <w:t>[</w:t>
            </w:r>
            <w:r w:rsidRPr="00F71D10">
              <w:rPr>
                <w:i/>
              </w:rPr>
              <w:t>issues of shares (including any IPO), options or any instruments convertible to equity (unless undertaken through a pre-emptive rights issue);</w:t>
            </w:r>
            <w:r w:rsidRPr="00F71D10">
              <w:rPr>
                <w:b/>
                <w:i/>
              </w:rPr>
              <w:t>]</w:t>
            </w:r>
          </w:p>
          <w:p w:rsidR="002E4846" w:rsidRPr="00F771B4" w:rsidRDefault="002E4846" w:rsidP="002E4846">
            <w:pPr>
              <w:ind w:left="850"/>
            </w:pPr>
          </w:p>
          <w:p w:rsidR="002E4846" w:rsidRPr="00F771B4" w:rsidRDefault="002E4846" w:rsidP="002E4846">
            <w:pPr>
              <w:numPr>
                <w:ilvl w:val="0"/>
                <w:numId w:val="9"/>
              </w:numPr>
            </w:pPr>
            <w:r w:rsidRPr="00F771B4">
              <w:t xml:space="preserve">approval of </w:t>
            </w:r>
            <w:r>
              <w:t>each</w:t>
            </w:r>
            <w:r w:rsidRPr="00F771B4">
              <w:t xml:space="preserve"> Business Plan or any material amendments to or departures from the Business Plan (with such approval not to be unreasonably withheld); </w:t>
            </w:r>
          </w:p>
          <w:p w:rsidR="002E4846" w:rsidRPr="00F771B4" w:rsidRDefault="002E4846" w:rsidP="002E4846"/>
          <w:p w:rsidR="002E4846" w:rsidRPr="00F771B4" w:rsidRDefault="002E4846" w:rsidP="002E4846">
            <w:pPr>
              <w:numPr>
                <w:ilvl w:val="0"/>
                <w:numId w:val="9"/>
              </w:numPr>
            </w:pPr>
            <w:r w:rsidRPr="00F771B4">
              <w:t>allocation</w:t>
            </w:r>
            <w:r>
              <w:t>s under any</w:t>
            </w:r>
            <w:r w:rsidRPr="00F771B4">
              <w:t xml:space="preserve"> </w:t>
            </w:r>
            <w:r w:rsidR="0049445C">
              <w:t>Share Scheme</w:t>
            </w:r>
            <w:r>
              <w:t xml:space="preserve"> (approval not to be unreasonably withheld)</w:t>
            </w:r>
            <w:r w:rsidRPr="00F771B4">
              <w:t>;</w:t>
            </w:r>
          </w:p>
          <w:p w:rsidR="002E4846" w:rsidRPr="00F771B4" w:rsidRDefault="002E4846" w:rsidP="002E4846"/>
          <w:p w:rsidR="002E4846" w:rsidRPr="001F2EF2" w:rsidRDefault="002E4846" w:rsidP="002E4846">
            <w:pPr>
              <w:numPr>
                <w:ilvl w:val="0"/>
                <w:numId w:val="9"/>
              </w:numPr>
            </w:pPr>
            <w:r w:rsidRPr="001F2EF2">
              <w:rPr>
                <w:b/>
                <w:i/>
                <w:lang w:eastAsia="zh-CN"/>
              </w:rPr>
              <w:t>[</w:t>
            </w:r>
            <w:r w:rsidRPr="001F2EF2">
              <w:rPr>
                <w:i/>
                <w:lang w:eastAsia="zh-CN"/>
              </w:rPr>
              <w:t xml:space="preserve">determining the fair market value of shares being bought back from a </w:t>
            </w:r>
            <w:r w:rsidR="00107D81">
              <w:rPr>
                <w:i/>
                <w:lang w:eastAsia="zh-CN"/>
              </w:rPr>
              <w:t>Founder</w:t>
            </w:r>
            <w:r w:rsidRPr="001F2EF2">
              <w:rPr>
                <w:i/>
                <w:lang w:eastAsia="zh-CN"/>
              </w:rPr>
              <w:t xml:space="preserve"> that is a bad leaver</w:t>
            </w:r>
            <w:r w:rsidRPr="001F2EF2">
              <w:rPr>
                <w:b/>
                <w:i/>
                <w:lang w:eastAsia="zh-CN"/>
              </w:rPr>
              <w:t>]</w:t>
            </w:r>
            <w:r w:rsidRPr="001F2EF2">
              <w:t>;</w:t>
            </w:r>
          </w:p>
          <w:p w:rsidR="002E4846" w:rsidRPr="00F771B4" w:rsidRDefault="002E4846" w:rsidP="002E4846">
            <w:pPr>
              <w:ind w:left="850"/>
            </w:pPr>
          </w:p>
          <w:p w:rsidR="002E4846" w:rsidRPr="00F771B4" w:rsidRDefault="002E4846" w:rsidP="002E4846">
            <w:pPr>
              <w:numPr>
                <w:ilvl w:val="0"/>
                <w:numId w:val="9"/>
              </w:numPr>
            </w:pPr>
            <w:r w:rsidRPr="00F771B4">
              <w:t>any transaction or arrangement likely to have the effect of the Company acquiring rights or interests or incurring obligations or liabilities outside of the Agreed Business Plan, the value of which is greater than $</w:t>
            </w:r>
            <w:r w:rsidRPr="00F771B4">
              <w:rPr>
                <w:b/>
              </w:rPr>
              <w:t>[</w:t>
            </w:r>
            <w:r w:rsidR="00AE09C5">
              <w:rPr>
                <w:i/>
              </w:rPr>
              <w:t>insert</w:t>
            </w:r>
            <w:r w:rsidRPr="00F771B4">
              <w:rPr>
                <w:b/>
              </w:rPr>
              <w:t>]</w:t>
            </w:r>
            <w:r w:rsidRPr="00F771B4">
              <w:t>;</w:t>
            </w:r>
          </w:p>
          <w:p w:rsidR="002E4846" w:rsidRPr="00F771B4" w:rsidRDefault="002E4846" w:rsidP="002E4846"/>
          <w:p w:rsidR="002E4846" w:rsidRPr="00F771B4" w:rsidRDefault="002E4846" w:rsidP="002E4846">
            <w:pPr>
              <w:numPr>
                <w:ilvl w:val="0"/>
                <w:numId w:val="9"/>
              </w:numPr>
            </w:pPr>
            <w:r w:rsidRPr="00F771B4">
              <w:t>any borrowings, guarantees, indemnities or other contingent commitments (excluding indemnities given under customer or supplier agreements in the ordinary course of business)</w:t>
            </w:r>
            <w:r>
              <w:t>, the value of which exceeds $</w:t>
            </w:r>
            <w:r w:rsidRPr="00C2033A">
              <w:rPr>
                <w:b/>
              </w:rPr>
              <w:t>[</w:t>
            </w:r>
            <w:r>
              <w:t>i</w:t>
            </w:r>
            <w:r w:rsidRPr="00C2033A">
              <w:rPr>
                <w:i/>
              </w:rPr>
              <w:t>nser</w:t>
            </w:r>
            <w:r>
              <w:t>t</w:t>
            </w:r>
            <w:r w:rsidRPr="00C2033A">
              <w:rPr>
                <w:b/>
              </w:rPr>
              <w:t>]</w:t>
            </w:r>
            <w:r w:rsidRPr="00F771B4">
              <w:t>;</w:t>
            </w:r>
          </w:p>
          <w:p w:rsidR="002E4846" w:rsidRPr="00F771B4" w:rsidRDefault="002E4846" w:rsidP="002E4846"/>
          <w:p w:rsidR="002E4846" w:rsidRDefault="002E4846" w:rsidP="002E4846">
            <w:pPr>
              <w:numPr>
                <w:ilvl w:val="0"/>
                <w:numId w:val="9"/>
              </w:numPr>
            </w:pPr>
            <w:r>
              <w:t>any purchase by the Company of any securities of any other entity;</w:t>
            </w:r>
          </w:p>
          <w:p w:rsidR="002E4846" w:rsidRDefault="002E4846" w:rsidP="002E4846">
            <w:pPr>
              <w:pStyle w:val="ListParagraph"/>
            </w:pPr>
          </w:p>
          <w:p w:rsidR="002E4846" w:rsidRPr="00F771B4" w:rsidRDefault="002E4846" w:rsidP="002E4846">
            <w:pPr>
              <w:numPr>
                <w:ilvl w:val="0"/>
                <w:numId w:val="9"/>
              </w:numPr>
            </w:pPr>
            <w:r w:rsidRPr="00F771B4">
              <w:t xml:space="preserve">any change to accounting policies </w:t>
            </w:r>
            <w:r w:rsidRPr="00F771B4">
              <w:rPr>
                <w:b/>
              </w:rPr>
              <w:t>[</w:t>
            </w:r>
            <w:r w:rsidRPr="00F771B4">
              <w:rPr>
                <w:i/>
              </w:rPr>
              <w:t>or the</w:t>
            </w:r>
            <w:r>
              <w:rPr>
                <w:i/>
              </w:rPr>
              <w:t xml:space="preserve"> appointment or change of an</w:t>
            </w:r>
            <w:r w:rsidRPr="00F771B4">
              <w:rPr>
                <w:i/>
              </w:rPr>
              <w:t xml:space="preserve"> auditor</w:t>
            </w:r>
            <w:r w:rsidRPr="00F771B4">
              <w:rPr>
                <w:b/>
              </w:rPr>
              <w:t>]</w:t>
            </w:r>
            <w:r w:rsidRPr="00F771B4">
              <w:t>; and</w:t>
            </w:r>
          </w:p>
          <w:p w:rsidR="002E4846" w:rsidRPr="00F771B4" w:rsidRDefault="002E4846" w:rsidP="002E4846"/>
          <w:p w:rsidR="002E4846" w:rsidRDefault="002E4846" w:rsidP="002E4846">
            <w:pPr>
              <w:numPr>
                <w:ilvl w:val="0"/>
                <w:numId w:val="9"/>
              </w:numPr>
            </w:pPr>
            <w:proofErr w:type="gramStart"/>
            <w:r w:rsidRPr="00F771B4">
              <w:t>appointment</w:t>
            </w:r>
            <w:proofErr w:type="gramEnd"/>
            <w:r w:rsidRPr="00F771B4">
              <w:t xml:space="preserve"> of any C-suite positions or any other </w:t>
            </w:r>
            <w:r w:rsidR="00107D81">
              <w:t>Founder</w:t>
            </w:r>
            <w:r w:rsidRPr="00F771B4">
              <w:t>, and any material modification of their engagement terms (with such actions not to be unreasonably withheld).</w:t>
            </w:r>
          </w:p>
          <w:p w:rsidR="002E4846" w:rsidRDefault="002E4846" w:rsidP="002E4846">
            <w:pPr>
              <w:ind w:left="850"/>
            </w:pPr>
          </w:p>
          <w:p w:rsidR="002E4846" w:rsidRPr="00F771B4" w:rsidRDefault="002E4846" w:rsidP="002E4846">
            <w:pPr>
              <w:numPr>
                <w:ilvl w:val="0"/>
                <w:numId w:val="9"/>
              </w:numPr>
            </w:pPr>
            <w:r w:rsidRPr="00F771B4">
              <w:rPr>
                <w:b/>
              </w:rPr>
              <w:t>[</w:t>
            </w:r>
            <w:r w:rsidRPr="00F771B4">
              <w:rPr>
                <w:i/>
              </w:rPr>
              <w:t>insert any other matters</w:t>
            </w:r>
            <w:r w:rsidRPr="00F771B4">
              <w:rPr>
                <w:b/>
              </w:rPr>
              <w:t>]</w:t>
            </w:r>
          </w:p>
          <w:p w:rsidR="002E4846" w:rsidRPr="00F771B4" w:rsidRDefault="002E4846" w:rsidP="002E4846">
            <w:pPr>
              <w:ind w:left="850"/>
            </w:pPr>
          </w:p>
          <w:p w:rsidR="002E4846" w:rsidRPr="00F771B4" w:rsidRDefault="002E4846" w:rsidP="002E4846">
            <w:r w:rsidRPr="00F771B4">
              <w:rPr>
                <w:b/>
              </w:rPr>
              <w:t>[</w:t>
            </w:r>
            <w:r w:rsidRPr="00F771B4">
              <w:rPr>
                <w:i/>
              </w:rPr>
              <w:t xml:space="preserve">The support of the Investor Director(s) for the above items will only be required </w:t>
            </w:r>
            <w:r w:rsidRPr="00F771B4">
              <w:rPr>
                <w:b/>
                <w:i/>
              </w:rPr>
              <w:t>[</w:t>
            </w:r>
            <w:r w:rsidRPr="00F771B4">
              <w:rPr>
                <w:i/>
              </w:rPr>
              <w:t xml:space="preserve">for a period of </w:t>
            </w:r>
            <w:r w:rsidRPr="00F771B4">
              <w:rPr>
                <w:b/>
                <w:i/>
              </w:rPr>
              <w:t>[</w:t>
            </w:r>
            <w:r w:rsidR="00AE09C5">
              <w:rPr>
                <w:i/>
              </w:rPr>
              <w:t>insert</w:t>
            </w:r>
            <w:r w:rsidRPr="00F771B4">
              <w:rPr>
                <w:b/>
                <w:i/>
              </w:rPr>
              <w:t>]</w:t>
            </w:r>
            <w:r w:rsidRPr="00F771B4">
              <w:rPr>
                <w:i/>
              </w:rPr>
              <w:t xml:space="preserve"> years following Completion</w:t>
            </w:r>
            <w:proofErr w:type="gramStart"/>
            <w:r w:rsidRPr="008B151F">
              <w:rPr>
                <w:b/>
                <w:i/>
              </w:rPr>
              <w:t>][</w:t>
            </w:r>
            <w:proofErr w:type="gramEnd"/>
            <w:r>
              <w:rPr>
                <w:i/>
              </w:rPr>
              <w:t>or</w:t>
            </w:r>
            <w:r w:rsidRPr="008B151F">
              <w:rPr>
                <w:b/>
                <w:i/>
              </w:rPr>
              <w:t>][</w:t>
            </w:r>
            <w:r w:rsidRPr="00F771B4">
              <w:rPr>
                <w:i/>
              </w:rPr>
              <w:t xml:space="preserve">while the Investors hold at least </w:t>
            </w:r>
            <w:r w:rsidRPr="00F771B4">
              <w:rPr>
                <w:b/>
                <w:i/>
              </w:rPr>
              <w:t>[</w:t>
            </w:r>
            <w:r w:rsidR="00AE09C5">
              <w:rPr>
                <w:i/>
              </w:rPr>
              <w:t>insert</w:t>
            </w:r>
            <w:r w:rsidRPr="00F771B4">
              <w:rPr>
                <w:b/>
                <w:i/>
              </w:rPr>
              <w:t>]</w:t>
            </w:r>
            <w:r w:rsidRPr="00F771B4">
              <w:rPr>
                <w:i/>
              </w:rPr>
              <w:t>% of the shares on issue in the Company</w:t>
            </w:r>
            <w:r w:rsidRPr="008B151F">
              <w:rPr>
                <w:b/>
                <w:i/>
              </w:rPr>
              <w:t>]</w:t>
            </w:r>
            <w:r w:rsidRPr="00F771B4">
              <w:rPr>
                <w:i/>
              </w:rPr>
              <w:t>.</w:t>
            </w:r>
            <w:r w:rsidRPr="00F771B4">
              <w:rPr>
                <w:b/>
              </w:rPr>
              <w:t>]</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sidRPr="00F771B4">
              <w:rPr>
                <w:b/>
              </w:rPr>
              <w:t>Special Resolution</w:t>
            </w:r>
          </w:p>
        </w:tc>
        <w:tc>
          <w:tcPr>
            <w:tcW w:w="6057" w:type="dxa"/>
            <w:gridSpan w:val="6"/>
            <w:shd w:val="clear" w:color="auto" w:fill="auto"/>
          </w:tcPr>
          <w:p w:rsidR="002E4846" w:rsidRPr="00F771B4" w:rsidRDefault="002E4846" w:rsidP="002E4846">
            <w:pPr>
              <w:rPr>
                <w:i/>
              </w:rPr>
            </w:pPr>
            <w:r>
              <w:t>A resolution of s</w:t>
            </w:r>
            <w:r w:rsidRPr="00F771B4">
              <w:t xml:space="preserve">hareholders holding 75% or more of the shares with voting rights attached </w:t>
            </w:r>
            <w:r w:rsidRPr="00F771B4">
              <w:rPr>
                <w:b/>
              </w:rPr>
              <w:t>[</w:t>
            </w:r>
            <w:r w:rsidRPr="00F771B4">
              <w:rPr>
                <w:i/>
              </w:rPr>
              <w:t>which must also</w:t>
            </w:r>
            <w:r>
              <w:rPr>
                <w:i/>
              </w:rPr>
              <w:t xml:space="preserve"> include a majority of Investors’</w:t>
            </w:r>
            <w:r w:rsidRPr="00F771B4">
              <w:rPr>
                <w:i/>
              </w:rPr>
              <w:t xml:space="preserve"> shares</w:t>
            </w:r>
            <w:r w:rsidRPr="00F771B4">
              <w:rPr>
                <w:b/>
              </w:rPr>
              <w:t>]</w:t>
            </w:r>
            <w:r w:rsidRPr="00F771B4">
              <w:t>.</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Pr>
                <w:b/>
              </w:rPr>
              <w:t>Shareholder A</w:t>
            </w:r>
            <w:r w:rsidRPr="00F771B4">
              <w:rPr>
                <w:b/>
              </w:rPr>
              <w:t>pprovals</w:t>
            </w:r>
          </w:p>
        </w:tc>
        <w:tc>
          <w:tcPr>
            <w:tcW w:w="6057" w:type="dxa"/>
            <w:gridSpan w:val="6"/>
            <w:shd w:val="clear" w:color="auto" w:fill="auto"/>
          </w:tcPr>
          <w:p w:rsidR="002E4846" w:rsidRPr="00F771B4" w:rsidRDefault="002E4846" w:rsidP="002E4846">
            <w:r w:rsidRPr="00F771B4">
              <w:t xml:space="preserve">Prior approval by Special Resolution of </w:t>
            </w:r>
            <w:r>
              <w:t>s</w:t>
            </w:r>
            <w:r w:rsidRPr="00F771B4">
              <w:t>hareholders is required for the following:</w:t>
            </w:r>
          </w:p>
          <w:p w:rsidR="002E4846" w:rsidRPr="00F771B4" w:rsidRDefault="002E4846" w:rsidP="002E4846"/>
          <w:p w:rsidR="002E4846" w:rsidRPr="00F771B4" w:rsidRDefault="002E4846" w:rsidP="002E4846">
            <w:pPr>
              <w:numPr>
                <w:ilvl w:val="0"/>
                <w:numId w:val="9"/>
              </w:numPr>
            </w:pPr>
            <w:r w:rsidRPr="00F771B4">
              <w:t>any Major Transaction or transaction invo</w:t>
            </w:r>
            <w:r>
              <w:t xml:space="preserve">lving the disposal of a significant </w:t>
            </w:r>
            <w:r w:rsidRPr="00F771B4">
              <w:t xml:space="preserve">proportion of the Company's assets; </w:t>
            </w:r>
          </w:p>
          <w:p w:rsidR="002E4846" w:rsidRPr="00F771B4" w:rsidRDefault="002E4846" w:rsidP="002E4846"/>
          <w:p w:rsidR="002E4846" w:rsidRPr="00F771B4" w:rsidRDefault="002E4846" w:rsidP="002E4846">
            <w:pPr>
              <w:numPr>
                <w:ilvl w:val="0"/>
                <w:numId w:val="9"/>
              </w:numPr>
            </w:pPr>
            <w:r w:rsidRPr="00F771B4">
              <w:t xml:space="preserve">any significant change in the nature of the </w:t>
            </w:r>
            <w:r>
              <w:t>B</w:t>
            </w:r>
            <w:r w:rsidRPr="00F771B4">
              <w:t>usiness (whether by acquisition or otherwise); and</w:t>
            </w:r>
          </w:p>
          <w:p w:rsidR="002E4846" w:rsidRPr="00F771B4" w:rsidRDefault="002E4846" w:rsidP="002E4846"/>
          <w:p w:rsidR="002E4846" w:rsidRPr="00F771B4" w:rsidRDefault="002E4846" w:rsidP="002E4846">
            <w:pPr>
              <w:numPr>
                <w:ilvl w:val="0"/>
                <w:numId w:val="9"/>
              </w:numPr>
            </w:pPr>
            <w:proofErr w:type="gramStart"/>
            <w:r w:rsidRPr="00F771B4">
              <w:t>any</w:t>
            </w:r>
            <w:proofErr w:type="gramEnd"/>
            <w:r w:rsidRPr="00F771B4">
              <w:t xml:space="preserve"> transaction between the Company and any holder of securities, Director, officer or employee of the Company or any </w:t>
            </w:r>
            <w:r>
              <w:t>a</w:t>
            </w:r>
            <w:r w:rsidRPr="00F771B4">
              <w:t>ssociate of any of them, unless that transaction has been approved by a unanimous resolution of the Board (including at least one Director who is not interested in the transaction).</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sidRPr="00F771B4">
              <w:rPr>
                <w:b/>
              </w:rPr>
              <w:t>Financial Statements, Reporting</w:t>
            </w:r>
          </w:p>
        </w:tc>
        <w:tc>
          <w:tcPr>
            <w:tcW w:w="6057" w:type="dxa"/>
            <w:gridSpan w:val="6"/>
            <w:shd w:val="clear" w:color="auto" w:fill="auto"/>
          </w:tcPr>
          <w:p w:rsidR="002E4846" w:rsidRDefault="002E4846" w:rsidP="002E4846">
            <w:r w:rsidRPr="00F771B4">
              <w:t xml:space="preserve">Unaudited </w:t>
            </w:r>
            <w:r w:rsidRPr="00F771B4">
              <w:rPr>
                <w:b/>
              </w:rPr>
              <w:t>[</w:t>
            </w:r>
            <w:r w:rsidRPr="00F771B4">
              <w:rPr>
                <w:i/>
              </w:rPr>
              <w:t>monthly and</w:t>
            </w:r>
            <w:r w:rsidRPr="00F771B4">
              <w:rPr>
                <w:b/>
              </w:rPr>
              <w:t>]</w:t>
            </w:r>
            <w:r w:rsidRPr="00F771B4">
              <w:t xml:space="preserve"> quarterly statements and </w:t>
            </w:r>
            <w:r w:rsidRPr="00F771B4">
              <w:rPr>
                <w:b/>
              </w:rPr>
              <w:t>[</w:t>
            </w:r>
            <w:r w:rsidRPr="00F771B4">
              <w:rPr>
                <w:i/>
              </w:rPr>
              <w:t>un</w:t>
            </w:r>
            <w:r w:rsidRPr="00F771B4">
              <w:rPr>
                <w:b/>
              </w:rPr>
              <w:t>]</w:t>
            </w:r>
            <w:r w:rsidRPr="00F771B4">
              <w:t xml:space="preserve">audited annual accounts, accompanied by reports covering all material aspects of the Company's progress </w:t>
            </w:r>
            <w:r w:rsidRPr="00F771B4">
              <w:rPr>
                <w:b/>
              </w:rPr>
              <w:t>[</w:t>
            </w:r>
            <w:r w:rsidRPr="00F771B4">
              <w:rPr>
                <w:i/>
              </w:rPr>
              <w:t>in the case of the quarterly and annual statements</w:t>
            </w:r>
            <w:r w:rsidRPr="00F771B4">
              <w:rPr>
                <w:b/>
              </w:rPr>
              <w:t>]</w:t>
            </w:r>
            <w:r w:rsidRPr="00F771B4">
              <w:t xml:space="preserve">. </w:t>
            </w:r>
          </w:p>
          <w:p w:rsidR="002E4846" w:rsidRDefault="002E4846" w:rsidP="002E4846"/>
          <w:p w:rsidR="002E4846" w:rsidRPr="00F771B4" w:rsidRDefault="008B4BD3" w:rsidP="002E4846">
            <w:r w:rsidRPr="008B4BD3">
              <w:rPr>
                <w:b/>
              </w:rPr>
              <w:t>[</w:t>
            </w:r>
            <w:r w:rsidR="002E4846">
              <w:t>If NZVIF is an investor, the Company will also m</w:t>
            </w:r>
            <w:r w:rsidR="006B566A">
              <w:t>e</w:t>
            </w:r>
            <w:r w:rsidR="002E4846">
              <w:t xml:space="preserve">et NZVIF’s quarterly report requirements in a format to be set out in the </w:t>
            </w:r>
            <w:r w:rsidR="006B566A">
              <w:t>Investment Documents</w:t>
            </w:r>
            <w:r w:rsidR="002E4846">
              <w:t>.</w:t>
            </w:r>
            <w:r w:rsidRPr="008B4BD3">
              <w:rPr>
                <w:b/>
              </w:rPr>
              <w:t>]</w:t>
            </w:r>
            <w:r w:rsidRPr="008B4BD3">
              <w:rPr>
                <w:rStyle w:val="FootnoteReference"/>
              </w:rPr>
              <w:footnoteReference w:id="16"/>
            </w:r>
            <w:r w:rsidR="002E4846" w:rsidRPr="008B4BD3">
              <w:t xml:space="preserve"> </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sidRPr="00F771B4">
              <w:rPr>
                <w:b/>
              </w:rPr>
              <w:t>Pre-emptive rights</w:t>
            </w:r>
            <w:r>
              <w:rPr>
                <w:b/>
              </w:rPr>
              <w:t xml:space="preserve"> on the transfer of existing shares</w:t>
            </w:r>
          </w:p>
        </w:tc>
        <w:tc>
          <w:tcPr>
            <w:tcW w:w="6057" w:type="dxa"/>
            <w:gridSpan w:val="6"/>
            <w:shd w:val="clear" w:color="auto" w:fill="auto"/>
          </w:tcPr>
          <w:p w:rsidR="002E4846" w:rsidRPr="00F771B4" w:rsidRDefault="002E4846" w:rsidP="002E4846">
            <w:r w:rsidRPr="00F771B4">
              <w:t xml:space="preserve">Usual pre-emptive rights on </w:t>
            </w:r>
            <w:r>
              <w:t xml:space="preserve">the </w:t>
            </w:r>
            <w:r w:rsidRPr="00F771B4">
              <w:t xml:space="preserve">transfer </w:t>
            </w:r>
            <w:r>
              <w:t>of existing securities shall apply</w:t>
            </w:r>
            <w:r w:rsidRPr="00F771B4">
              <w:t xml:space="preserve">. </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Pr>
                <w:b/>
              </w:rPr>
              <w:t>Capital raising</w:t>
            </w:r>
          </w:p>
        </w:tc>
        <w:tc>
          <w:tcPr>
            <w:tcW w:w="6057" w:type="dxa"/>
            <w:gridSpan w:val="6"/>
            <w:shd w:val="clear" w:color="auto" w:fill="auto"/>
          </w:tcPr>
          <w:p w:rsidR="002E4846" w:rsidRPr="00F771B4" w:rsidRDefault="002E4846" w:rsidP="002E4846">
            <w:r w:rsidRPr="00F771B4">
              <w:t xml:space="preserve">Usual pre-emptive rights on </w:t>
            </w:r>
            <w:r>
              <w:t xml:space="preserve">the </w:t>
            </w:r>
            <w:r w:rsidRPr="00F771B4">
              <w:t>issue of new securities</w:t>
            </w:r>
            <w:r>
              <w:t xml:space="preserve"> shall apply</w:t>
            </w:r>
            <w:r w:rsidRPr="00F771B4">
              <w:t xml:space="preserve">. </w:t>
            </w:r>
          </w:p>
          <w:p w:rsidR="002E4846" w:rsidRDefault="002E4846" w:rsidP="002E4846"/>
          <w:p w:rsidR="002E4846" w:rsidRPr="005B5874" w:rsidRDefault="002E4846" w:rsidP="002E4846">
            <w:r w:rsidRPr="005B5874">
              <w:t xml:space="preserve">Any unallocated shares will be applied </w:t>
            </w:r>
            <w:r>
              <w:t>(</w:t>
            </w:r>
            <w:proofErr w:type="spellStart"/>
            <w:r>
              <w:t>i</w:t>
            </w:r>
            <w:proofErr w:type="spellEnd"/>
            <w:r>
              <w:t xml:space="preserve">) first, </w:t>
            </w:r>
            <w:r w:rsidRPr="005B5874">
              <w:t xml:space="preserve">toward applications for oversubscriptions by the </w:t>
            </w:r>
            <w:r w:rsidRPr="005B5874">
              <w:rPr>
                <w:b/>
              </w:rPr>
              <w:t>[</w:t>
            </w:r>
            <w:r w:rsidRPr="005B5874">
              <w:rPr>
                <w:i/>
              </w:rPr>
              <w:t>shareholders/Investors</w:t>
            </w:r>
            <w:r w:rsidRPr="005B5874">
              <w:rPr>
                <w:b/>
              </w:rPr>
              <w:t>]</w:t>
            </w:r>
            <w:r>
              <w:t xml:space="preserve"> </w:t>
            </w:r>
            <w:r w:rsidRPr="005B5874">
              <w:t xml:space="preserve">and if more than one applying, on a pro-rata basis among them, based on their holdings as against other oversubscribing </w:t>
            </w:r>
            <w:r w:rsidRPr="005B5874">
              <w:rPr>
                <w:b/>
              </w:rPr>
              <w:t>[</w:t>
            </w:r>
            <w:r w:rsidRPr="005B5874">
              <w:rPr>
                <w:i/>
              </w:rPr>
              <w:t>shareholders/Investors</w:t>
            </w:r>
            <w:r w:rsidRPr="005B5874">
              <w:rPr>
                <w:b/>
              </w:rPr>
              <w:t>]</w:t>
            </w:r>
            <w:r>
              <w:t xml:space="preserve"> and (ii) secondly, by the Board in the best interests of the Company, including to external investors provided that the terms of that allocation are no more favourable than those offered to the </w:t>
            </w:r>
            <w:r w:rsidRPr="005B5874">
              <w:rPr>
                <w:b/>
              </w:rPr>
              <w:t>[</w:t>
            </w:r>
            <w:r w:rsidRPr="005B5874">
              <w:rPr>
                <w:i/>
              </w:rPr>
              <w:t>shareholders/Investors</w:t>
            </w:r>
            <w:r w:rsidRPr="005B5874">
              <w:rPr>
                <w:b/>
              </w:rPr>
              <w:t>]</w:t>
            </w:r>
            <w:r>
              <w:t xml:space="preserve">. </w:t>
            </w:r>
          </w:p>
          <w:p w:rsidR="002E4846" w:rsidRDefault="002E4846" w:rsidP="002E4846"/>
          <w:p w:rsidR="002E4846" w:rsidRPr="00CE67B7" w:rsidRDefault="002E4846" w:rsidP="002E4846">
            <w:pPr>
              <w:rPr>
                <w:i/>
              </w:rPr>
            </w:pPr>
            <w:r w:rsidRPr="00CE67B7">
              <w:rPr>
                <w:b/>
              </w:rPr>
              <w:t>[</w:t>
            </w:r>
            <w:r w:rsidRPr="00CE67B7">
              <w:rPr>
                <w:i/>
              </w:rPr>
              <w:t>Permitted exemptions to the pre-emptive rights process are:</w:t>
            </w:r>
          </w:p>
          <w:p w:rsidR="002E4846" w:rsidRPr="00CE67B7" w:rsidRDefault="002E4846" w:rsidP="002E4846">
            <w:pPr>
              <w:pStyle w:val="ListParagraph"/>
              <w:numPr>
                <w:ilvl w:val="0"/>
                <w:numId w:val="22"/>
              </w:numPr>
              <w:rPr>
                <w:i/>
              </w:rPr>
            </w:pPr>
            <w:r w:rsidRPr="00CE67B7">
              <w:rPr>
                <w:i/>
              </w:rPr>
              <w:t xml:space="preserve">capital raising approved by a Special Resolution </w:t>
            </w:r>
            <w:r w:rsidRPr="00CE67B7">
              <w:rPr>
                <w:b/>
                <w:i/>
              </w:rPr>
              <w:t>[</w:t>
            </w:r>
            <w:r w:rsidRPr="00CE67B7">
              <w:rPr>
                <w:i/>
              </w:rPr>
              <w:t>which must also include a majority of Investors’ shares</w:t>
            </w:r>
            <w:r w:rsidRPr="00CE67B7">
              <w:rPr>
                <w:b/>
                <w:i/>
              </w:rPr>
              <w:t>]</w:t>
            </w:r>
            <w:r w:rsidRPr="00CE67B7">
              <w:rPr>
                <w:i/>
              </w:rPr>
              <w:t>;</w:t>
            </w:r>
          </w:p>
          <w:p w:rsidR="002E4846" w:rsidRPr="00CE67B7" w:rsidRDefault="002E4846" w:rsidP="002E4846">
            <w:pPr>
              <w:pStyle w:val="ListParagraph"/>
              <w:numPr>
                <w:ilvl w:val="0"/>
                <w:numId w:val="22"/>
              </w:numPr>
            </w:pPr>
            <w:proofErr w:type="gramStart"/>
            <w:r w:rsidRPr="00CE67B7">
              <w:rPr>
                <w:i/>
              </w:rPr>
              <w:t>issuances</w:t>
            </w:r>
            <w:proofErr w:type="gramEnd"/>
            <w:r w:rsidRPr="00CE67B7">
              <w:rPr>
                <w:i/>
              </w:rPr>
              <w:t xml:space="preserve"> under an agreed </w:t>
            </w:r>
            <w:r w:rsidR="0049445C">
              <w:rPr>
                <w:i/>
              </w:rPr>
              <w:t>Share Scheme</w:t>
            </w:r>
            <w:r w:rsidRPr="00CE67B7">
              <w:rPr>
                <w:i/>
              </w:rPr>
              <w:t>.</w:t>
            </w:r>
            <w:r w:rsidRPr="00CE67B7">
              <w:rPr>
                <w:b/>
              </w:rPr>
              <w:t>]</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Pr>
                <w:b/>
              </w:rPr>
              <w:t>Drag A</w:t>
            </w:r>
            <w:r w:rsidRPr="00F771B4">
              <w:rPr>
                <w:b/>
              </w:rPr>
              <w:t>long</w:t>
            </w:r>
            <w:r>
              <w:rPr>
                <w:b/>
              </w:rPr>
              <w:t xml:space="preserve"> Rights</w:t>
            </w:r>
            <w:r w:rsidR="0012078F">
              <w:rPr>
                <w:rStyle w:val="FootnoteReference"/>
                <w:b/>
              </w:rPr>
              <w:footnoteReference w:id="17"/>
            </w:r>
          </w:p>
        </w:tc>
        <w:tc>
          <w:tcPr>
            <w:tcW w:w="6057" w:type="dxa"/>
            <w:gridSpan w:val="6"/>
            <w:shd w:val="clear" w:color="auto" w:fill="auto"/>
          </w:tcPr>
          <w:p w:rsidR="002E4846" w:rsidRPr="00F771B4" w:rsidRDefault="002E4846" w:rsidP="002E4846">
            <w:r w:rsidRPr="00F771B4">
              <w:t>Drag</w:t>
            </w:r>
            <w:r>
              <w:t xml:space="preserve"> along rights will apply where s</w:t>
            </w:r>
            <w:r w:rsidRPr="00F771B4">
              <w:t>hareholder</w:t>
            </w:r>
            <w:r>
              <w:t>s</w:t>
            </w:r>
            <w:r w:rsidRPr="00F771B4">
              <w:t xml:space="preserve"> wish to sell </w:t>
            </w:r>
            <w:r w:rsidRPr="00F771B4">
              <w:rPr>
                <w:b/>
              </w:rPr>
              <w:t>[</w:t>
            </w:r>
            <w:r w:rsidRPr="00F771B4">
              <w:rPr>
                <w:i/>
              </w:rPr>
              <w:t>75</w:t>
            </w:r>
            <w:proofErr w:type="gramStart"/>
            <w:r w:rsidRPr="00F771B4">
              <w:rPr>
                <w:b/>
              </w:rPr>
              <w:t>]</w:t>
            </w:r>
            <w:r w:rsidRPr="00F771B4">
              <w:rPr>
                <w:i/>
              </w:rPr>
              <w:t>%</w:t>
            </w:r>
            <w:proofErr w:type="gramEnd"/>
            <w:r w:rsidRPr="00F771B4">
              <w:rPr>
                <w:i/>
              </w:rPr>
              <w:t xml:space="preserve"> </w:t>
            </w:r>
            <w:r w:rsidRPr="007B3382">
              <w:t>or</w:t>
            </w:r>
            <w:r>
              <w:rPr>
                <w:i/>
              </w:rPr>
              <w:t xml:space="preserve"> </w:t>
            </w:r>
            <w:r w:rsidRPr="00F771B4">
              <w:t xml:space="preserve">more of the </w:t>
            </w:r>
            <w:r>
              <w:t>s</w:t>
            </w:r>
            <w:r w:rsidRPr="00F771B4">
              <w:t xml:space="preserve">hares </w:t>
            </w:r>
            <w:r w:rsidRPr="00F771B4">
              <w:rPr>
                <w:b/>
              </w:rPr>
              <w:t>[</w:t>
            </w:r>
            <w:r w:rsidRPr="00F771B4">
              <w:rPr>
                <w:i/>
              </w:rPr>
              <w:t xml:space="preserve">including </w:t>
            </w:r>
            <w:r w:rsidRPr="007B3382">
              <w:rPr>
                <w:i/>
              </w:rPr>
              <w:t>a majority of</w:t>
            </w:r>
            <w:r w:rsidRPr="00F771B4">
              <w:rPr>
                <w:i/>
              </w:rPr>
              <w:t xml:space="preserve"> the Investors' </w:t>
            </w:r>
            <w:r w:rsidRPr="007B3382">
              <w:rPr>
                <w:i/>
              </w:rPr>
              <w:t xml:space="preserve">Shares </w:t>
            </w:r>
            <w:r w:rsidRPr="007B3382">
              <w:rPr>
                <w:b/>
                <w:i/>
              </w:rPr>
              <w:t>[</w:t>
            </w:r>
            <w:r w:rsidRPr="007B3382">
              <w:rPr>
                <w:i/>
              </w:rPr>
              <w:t xml:space="preserve">and </w:t>
            </w:r>
            <w:r w:rsidR="00107D81">
              <w:rPr>
                <w:i/>
              </w:rPr>
              <w:t>Founder</w:t>
            </w:r>
            <w:r w:rsidRPr="007B3382">
              <w:rPr>
                <w:i/>
              </w:rPr>
              <w:t xml:space="preserve"> Shares</w:t>
            </w:r>
            <w:r w:rsidRPr="007B3382">
              <w:rPr>
                <w:b/>
                <w:i/>
              </w:rPr>
              <w:t>]</w:t>
            </w:r>
            <w:r w:rsidRPr="00F771B4">
              <w:rPr>
                <w:b/>
              </w:rPr>
              <w:t>]</w:t>
            </w:r>
            <w:r w:rsidRPr="0061671E">
              <w:t xml:space="preserve"> to a third party</w:t>
            </w:r>
            <w:r w:rsidRPr="00F771B4">
              <w:t>.</w:t>
            </w:r>
          </w:p>
          <w:p w:rsidR="002E4846" w:rsidRPr="00F771B4" w:rsidRDefault="002E4846" w:rsidP="002E4846"/>
          <w:p w:rsidR="002E4846" w:rsidRPr="00F771B4" w:rsidRDefault="002E4846" w:rsidP="002E4846">
            <w:r w:rsidRPr="00F771B4">
              <w:t>The shareholders being dragged will be required to sell on the same terms.</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Pr>
                <w:b/>
              </w:rPr>
              <w:t>Tag A</w:t>
            </w:r>
            <w:r w:rsidRPr="00F771B4">
              <w:rPr>
                <w:b/>
              </w:rPr>
              <w:t>long</w:t>
            </w:r>
            <w:r>
              <w:rPr>
                <w:b/>
              </w:rPr>
              <w:t xml:space="preserve"> Rights</w:t>
            </w:r>
            <w:r w:rsidR="0012078F">
              <w:rPr>
                <w:rStyle w:val="FootnoteReference"/>
                <w:b/>
              </w:rPr>
              <w:footnoteReference w:id="18"/>
            </w:r>
          </w:p>
          <w:p w:rsidR="002E4846" w:rsidRPr="00F771B4" w:rsidRDefault="002E4846" w:rsidP="002E4846">
            <w:pPr>
              <w:jc w:val="left"/>
              <w:rPr>
                <w:b/>
              </w:rPr>
            </w:pPr>
          </w:p>
        </w:tc>
        <w:tc>
          <w:tcPr>
            <w:tcW w:w="6057" w:type="dxa"/>
            <w:gridSpan w:val="6"/>
            <w:shd w:val="clear" w:color="auto" w:fill="auto"/>
          </w:tcPr>
          <w:p w:rsidR="002E4846" w:rsidRPr="00F771B4" w:rsidRDefault="002E4846" w:rsidP="002E4846">
            <w:r w:rsidRPr="00F771B4">
              <w:t>Tag</w:t>
            </w:r>
            <w:r>
              <w:t xml:space="preserve"> along rights will apply where shareholders </w:t>
            </w:r>
            <w:r w:rsidRPr="00F771B4">
              <w:t xml:space="preserve">wish to sell more than </w:t>
            </w:r>
            <w:r w:rsidRPr="00F771B4">
              <w:rPr>
                <w:b/>
              </w:rPr>
              <w:t>[</w:t>
            </w:r>
            <w:r>
              <w:rPr>
                <w:i/>
              </w:rPr>
              <w:t>50</w:t>
            </w:r>
            <w:r w:rsidRPr="00F771B4">
              <w:rPr>
                <w:i/>
              </w:rPr>
              <w:t>%</w:t>
            </w:r>
            <w:r w:rsidRPr="00F771B4">
              <w:rPr>
                <w:b/>
              </w:rPr>
              <w:t>]</w:t>
            </w:r>
            <w:r>
              <w:t xml:space="preserve"> of the s</w:t>
            </w:r>
            <w:r w:rsidRPr="00F771B4">
              <w:t xml:space="preserve">hares in the Company to a third party. </w:t>
            </w:r>
          </w:p>
          <w:p w:rsidR="002E4846" w:rsidRPr="00F771B4" w:rsidRDefault="002E4846" w:rsidP="002E4846"/>
          <w:p w:rsidR="002E4846" w:rsidRPr="00F771B4" w:rsidRDefault="002E4846" w:rsidP="002E4846">
            <w:r w:rsidRPr="00F771B4">
              <w:t>The shareholders tagging into the sale will have the right to sell on the same terms, or on a pro</w:t>
            </w:r>
            <w:r>
              <w:t>-</w:t>
            </w:r>
            <w:r w:rsidRPr="00F771B4">
              <w:t>rata basis if the buyer does not wi</w:t>
            </w:r>
            <w:r>
              <w:t>sh to buy all of the available s</w:t>
            </w:r>
            <w:r w:rsidRPr="00F771B4">
              <w:t>hares.</w:t>
            </w:r>
          </w:p>
          <w:p w:rsidR="002E4846" w:rsidRPr="00F771B4" w:rsidRDefault="002E4846" w:rsidP="002E4846"/>
        </w:tc>
      </w:tr>
      <w:tr w:rsidR="002E4846" w:rsidRPr="00F771B4" w:rsidTr="005375AC">
        <w:tc>
          <w:tcPr>
            <w:tcW w:w="8676" w:type="dxa"/>
            <w:gridSpan w:val="7"/>
            <w:shd w:val="clear" w:color="auto" w:fill="BFBFBF" w:themeFill="background1" w:themeFillShade="BF"/>
          </w:tcPr>
          <w:p w:rsidR="002E4846" w:rsidRDefault="00107D81" w:rsidP="002E4846">
            <w:pPr>
              <w:jc w:val="center"/>
              <w:rPr>
                <w:b/>
              </w:rPr>
            </w:pPr>
            <w:r>
              <w:rPr>
                <w:b/>
              </w:rPr>
              <w:t>Founder</w:t>
            </w:r>
            <w:r w:rsidR="002E4846" w:rsidRPr="005375AC">
              <w:rPr>
                <w:b/>
              </w:rPr>
              <w:t xml:space="preserve"> </w:t>
            </w:r>
            <w:r w:rsidR="002E4846">
              <w:rPr>
                <w:b/>
              </w:rPr>
              <w:t>a</w:t>
            </w:r>
            <w:r w:rsidR="002E4846" w:rsidRPr="005375AC">
              <w:rPr>
                <w:b/>
              </w:rPr>
              <w:t>rrangements</w:t>
            </w:r>
          </w:p>
          <w:p w:rsidR="002E4846" w:rsidRPr="005375AC" w:rsidRDefault="002E4846" w:rsidP="002E4846">
            <w:pPr>
              <w:jc w:val="center"/>
              <w:rPr>
                <w:b/>
              </w:rPr>
            </w:pPr>
          </w:p>
        </w:tc>
      </w:tr>
      <w:tr w:rsidR="002E4846" w:rsidRPr="00F771B4" w:rsidTr="00114C61">
        <w:tc>
          <w:tcPr>
            <w:tcW w:w="2619" w:type="dxa"/>
            <w:shd w:val="clear" w:color="auto" w:fill="auto"/>
          </w:tcPr>
          <w:p w:rsidR="002E4846" w:rsidRPr="00F771B4" w:rsidRDefault="00107D81" w:rsidP="002E4846">
            <w:pPr>
              <w:jc w:val="left"/>
              <w:rPr>
                <w:b/>
              </w:rPr>
            </w:pPr>
            <w:r>
              <w:rPr>
                <w:b/>
              </w:rPr>
              <w:t>Founders</w:t>
            </w:r>
            <w:r w:rsidR="00B547AF" w:rsidRPr="00F771B4">
              <w:rPr>
                <w:rStyle w:val="FootnoteReference"/>
              </w:rPr>
              <w:footnoteReference w:id="19"/>
            </w:r>
          </w:p>
        </w:tc>
        <w:tc>
          <w:tcPr>
            <w:tcW w:w="6057" w:type="dxa"/>
            <w:gridSpan w:val="6"/>
            <w:shd w:val="clear" w:color="auto" w:fill="auto"/>
          </w:tcPr>
          <w:p w:rsidR="002E4846" w:rsidRPr="00F771B4" w:rsidRDefault="002E4846" w:rsidP="002E4846">
            <w:r w:rsidRPr="00F771B4">
              <w:rPr>
                <w:b/>
              </w:rPr>
              <w:t>[</w:t>
            </w:r>
            <w:r>
              <w:rPr>
                <w:i/>
              </w:rPr>
              <w:t>List</w:t>
            </w:r>
            <w:r w:rsidRPr="00F771B4">
              <w:t xml:space="preserve"> </w:t>
            </w:r>
            <w:r w:rsidRPr="00F771B4">
              <w:rPr>
                <w:i/>
              </w:rPr>
              <w:t>names of founder(s)/key people</w:t>
            </w:r>
            <w:r w:rsidRPr="00F771B4">
              <w:rPr>
                <w:b/>
              </w:rPr>
              <w:t>]</w:t>
            </w:r>
            <w:r w:rsidRPr="00F771B4">
              <w:t>.</w:t>
            </w:r>
          </w:p>
          <w:p w:rsidR="002E4846" w:rsidRPr="00F771B4" w:rsidRDefault="002E4846" w:rsidP="002E4846"/>
        </w:tc>
      </w:tr>
      <w:tr w:rsidR="002E4846" w:rsidRPr="00F771B4" w:rsidTr="00114C61">
        <w:tc>
          <w:tcPr>
            <w:tcW w:w="2619" w:type="dxa"/>
            <w:shd w:val="clear" w:color="auto" w:fill="auto"/>
          </w:tcPr>
          <w:p w:rsidR="002E4846" w:rsidRPr="004B5EF5" w:rsidRDefault="002E4846" w:rsidP="002E4846">
            <w:pPr>
              <w:spacing w:before="40"/>
              <w:jc w:val="left"/>
              <w:rPr>
                <w:i/>
              </w:rPr>
            </w:pPr>
            <w:r w:rsidRPr="004B5EF5">
              <w:rPr>
                <w:b/>
                <w:i/>
              </w:rPr>
              <w:t>[</w:t>
            </w:r>
            <w:r w:rsidR="00107D81">
              <w:rPr>
                <w:b/>
                <w:i/>
              </w:rPr>
              <w:t>Founder</w:t>
            </w:r>
            <w:r w:rsidRPr="004B5EF5">
              <w:rPr>
                <w:b/>
                <w:i/>
              </w:rPr>
              <w:t xml:space="preserve"> </w:t>
            </w:r>
            <w:r>
              <w:rPr>
                <w:b/>
                <w:i/>
              </w:rPr>
              <w:t>Restricted Share Transfers</w:t>
            </w:r>
            <w:r w:rsidRPr="004B5EF5">
              <w:rPr>
                <w:b/>
                <w:i/>
              </w:rPr>
              <w:t>]</w:t>
            </w:r>
            <w:r w:rsidRPr="004B5EF5">
              <w:rPr>
                <w:i/>
              </w:rPr>
              <w:t xml:space="preserve"> </w:t>
            </w:r>
          </w:p>
          <w:p w:rsidR="002E4846" w:rsidRPr="00F771B4" w:rsidRDefault="002E4846" w:rsidP="002E4846">
            <w:pPr>
              <w:jc w:val="left"/>
              <w:rPr>
                <w:b/>
              </w:rPr>
            </w:pPr>
          </w:p>
        </w:tc>
        <w:tc>
          <w:tcPr>
            <w:tcW w:w="6057" w:type="dxa"/>
            <w:gridSpan w:val="6"/>
            <w:shd w:val="clear" w:color="auto" w:fill="auto"/>
          </w:tcPr>
          <w:p w:rsidR="002E4846" w:rsidRPr="00B547AF" w:rsidRDefault="002E4846" w:rsidP="002E4846">
            <w:pPr>
              <w:rPr>
                <w:i/>
              </w:rPr>
            </w:pPr>
            <w:r w:rsidRPr="00B547AF">
              <w:rPr>
                <w:i/>
              </w:rPr>
              <w:t xml:space="preserve">The </w:t>
            </w:r>
            <w:r w:rsidR="00107D81" w:rsidRPr="00B547AF">
              <w:rPr>
                <w:i/>
              </w:rPr>
              <w:t>Founders</w:t>
            </w:r>
            <w:r w:rsidRPr="00B547AF">
              <w:rPr>
                <w:i/>
              </w:rPr>
              <w:t xml:space="preserve"> are not permitted to transfer any shares for a period of </w:t>
            </w:r>
            <w:r w:rsidRPr="00B547AF">
              <w:rPr>
                <w:b/>
                <w:i/>
              </w:rPr>
              <w:t>[</w:t>
            </w:r>
            <w:r w:rsidRPr="00B547AF">
              <w:rPr>
                <w:i/>
              </w:rPr>
              <w:t>3</w:t>
            </w:r>
            <w:r w:rsidRPr="00B547AF">
              <w:rPr>
                <w:b/>
                <w:i/>
              </w:rPr>
              <w:t>]</w:t>
            </w:r>
            <w:r w:rsidRPr="00B547AF">
              <w:rPr>
                <w:i/>
              </w:rPr>
              <w:t xml:space="preserve"> years from Completion with the exception of transfers:</w:t>
            </w:r>
          </w:p>
          <w:p w:rsidR="002E4846" w:rsidRPr="00B547AF" w:rsidRDefault="002E4846" w:rsidP="002E4846">
            <w:pPr>
              <w:numPr>
                <w:ilvl w:val="0"/>
                <w:numId w:val="14"/>
              </w:numPr>
              <w:spacing w:before="60"/>
              <w:rPr>
                <w:i/>
              </w:rPr>
            </w:pPr>
            <w:r w:rsidRPr="00B547AF">
              <w:rPr>
                <w:i/>
              </w:rPr>
              <w:t>approved by the Board with the support of the Investor Director(s);</w:t>
            </w:r>
          </w:p>
          <w:p w:rsidR="002E4846" w:rsidRPr="00B547AF" w:rsidRDefault="002E4846" w:rsidP="002E4846">
            <w:pPr>
              <w:numPr>
                <w:ilvl w:val="0"/>
                <w:numId w:val="14"/>
              </w:numPr>
              <w:spacing w:before="60"/>
              <w:rPr>
                <w:i/>
              </w:rPr>
            </w:pPr>
            <w:r w:rsidRPr="00B547AF">
              <w:rPr>
                <w:i/>
              </w:rPr>
              <w:t xml:space="preserve">totalling less than </w:t>
            </w:r>
            <w:r w:rsidR="00473FA7" w:rsidRPr="00B547AF">
              <w:rPr>
                <w:b/>
                <w:i/>
              </w:rPr>
              <w:t>[</w:t>
            </w:r>
            <w:r w:rsidRPr="00B547AF">
              <w:rPr>
                <w:i/>
              </w:rPr>
              <w:t>10</w:t>
            </w:r>
            <w:r w:rsidR="00473FA7" w:rsidRPr="00B547AF">
              <w:rPr>
                <w:b/>
                <w:i/>
              </w:rPr>
              <w:t>]</w:t>
            </w:r>
            <w:r w:rsidRPr="00B547AF">
              <w:rPr>
                <w:i/>
              </w:rPr>
              <w:t xml:space="preserve">% of a </w:t>
            </w:r>
            <w:r w:rsidR="00107D81" w:rsidRPr="00B547AF">
              <w:rPr>
                <w:i/>
              </w:rPr>
              <w:t>Founder</w:t>
            </w:r>
            <w:r w:rsidRPr="00B547AF">
              <w:rPr>
                <w:i/>
              </w:rPr>
              <w:t>’s shareholding on  Completion;</w:t>
            </w:r>
          </w:p>
          <w:p w:rsidR="002E4846" w:rsidRPr="00B547AF" w:rsidRDefault="002E4846" w:rsidP="002E4846">
            <w:pPr>
              <w:numPr>
                <w:ilvl w:val="0"/>
                <w:numId w:val="14"/>
              </w:numPr>
              <w:spacing w:before="60"/>
              <w:rPr>
                <w:i/>
              </w:rPr>
            </w:pPr>
            <w:r w:rsidRPr="00B547AF">
              <w:rPr>
                <w:i/>
              </w:rPr>
              <w:t>in an IPO, or where a tag / drag along right applies; or</w:t>
            </w:r>
          </w:p>
          <w:p w:rsidR="002E4846" w:rsidRPr="00B547AF" w:rsidRDefault="002E4846" w:rsidP="002E4846">
            <w:pPr>
              <w:numPr>
                <w:ilvl w:val="0"/>
                <w:numId w:val="14"/>
              </w:numPr>
              <w:spacing w:before="60"/>
              <w:rPr>
                <w:i/>
              </w:rPr>
            </w:pPr>
            <w:proofErr w:type="gramStart"/>
            <w:r w:rsidRPr="00B547AF">
              <w:rPr>
                <w:i/>
              </w:rPr>
              <w:t>to</w:t>
            </w:r>
            <w:proofErr w:type="gramEnd"/>
            <w:r w:rsidRPr="00B547AF">
              <w:rPr>
                <w:i/>
              </w:rPr>
              <w:t xml:space="preserve"> their wholly owned and controlled entities or to immediate family (who remain subject to the </w:t>
            </w:r>
            <w:r w:rsidR="00B67523">
              <w:rPr>
                <w:i/>
              </w:rPr>
              <w:t>r</w:t>
            </w:r>
            <w:r w:rsidR="00B67523" w:rsidRPr="00B67523">
              <w:rPr>
                <w:i/>
              </w:rPr>
              <w:t xml:space="preserve">estricted </w:t>
            </w:r>
            <w:r w:rsidR="00B67523">
              <w:rPr>
                <w:i/>
              </w:rPr>
              <w:t>s</w:t>
            </w:r>
            <w:r w:rsidR="00B67523" w:rsidRPr="00B67523">
              <w:rPr>
                <w:i/>
              </w:rPr>
              <w:t xml:space="preserve">hare </w:t>
            </w:r>
            <w:r w:rsidR="00B67523">
              <w:rPr>
                <w:i/>
              </w:rPr>
              <w:t>t</w:t>
            </w:r>
            <w:r w:rsidR="00B67523" w:rsidRPr="00B67523">
              <w:rPr>
                <w:i/>
              </w:rPr>
              <w:t>ransfers</w:t>
            </w:r>
            <w:r w:rsidR="00B67523">
              <w:rPr>
                <w:i/>
              </w:rPr>
              <w:t xml:space="preserve"> provisions</w:t>
            </w:r>
            <w:r w:rsidRPr="00B547AF">
              <w:rPr>
                <w:i/>
              </w:rPr>
              <w:t>).</w:t>
            </w:r>
          </w:p>
          <w:p w:rsidR="002E4846" w:rsidRPr="00B547AF" w:rsidRDefault="002E4846" w:rsidP="002E4846">
            <w:pPr>
              <w:rPr>
                <w:i/>
              </w:rPr>
            </w:pPr>
          </w:p>
        </w:tc>
      </w:tr>
      <w:tr w:rsidR="002E4846" w:rsidRPr="00F771B4" w:rsidTr="00114C61">
        <w:tc>
          <w:tcPr>
            <w:tcW w:w="2619" w:type="dxa"/>
            <w:shd w:val="clear" w:color="auto" w:fill="auto"/>
          </w:tcPr>
          <w:p w:rsidR="002E4846" w:rsidRPr="00F771B4" w:rsidRDefault="002E4846" w:rsidP="002E4846">
            <w:pPr>
              <w:spacing w:before="40"/>
              <w:jc w:val="left"/>
              <w:rPr>
                <w:b/>
                <w:i/>
              </w:rPr>
            </w:pPr>
            <w:r w:rsidRPr="00F771B4">
              <w:rPr>
                <w:b/>
                <w:i/>
              </w:rPr>
              <w:t>[</w:t>
            </w:r>
            <w:r w:rsidR="00107D81">
              <w:rPr>
                <w:b/>
                <w:i/>
              </w:rPr>
              <w:t>Founder</w:t>
            </w:r>
            <w:r w:rsidRPr="00F771B4">
              <w:rPr>
                <w:i/>
              </w:rPr>
              <w:t xml:space="preserve"> </w:t>
            </w:r>
            <w:r w:rsidRPr="00F771B4">
              <w:rPr>
                <w:b/>
                <w:i/>
              </w:rPr>
              <w:t>Vesting]</w:t>
            </w:r>
            <w:r w:rsidR="008B4BD3" w:rsidRPr="008B4BD3">
              <w:rPr>
                <w:rStyle w:val="FootnoteReference"/>
                <w:i/>
              </w:rPr>
              <w:t xml:space="preserve"> </w:t>
            </w:r>
            <w:r w:rsidR="008B4BD3" w:rsidRPr="008B4BD3">
              <w:rPr>
                <w:rStyle w:val="FootnoteReference"/>
                <w:i/>
              </w:rPr>
              <w:footnoteReference w:id="20"/>
            </w:r>
          </w:p>
          <w:p w:rsidR="002E4846" w:rsidRPr="00F771B4" w:rsidRDefault="002E4846" w:rsidP="002E4846">
            <w:pPr>
              <w:spacing w:before="40"/>
              <w:jc w:val="left"/>
              <w:rPr>
                <w:i/>
              </w:rPr>
            </w:pPr>
          </w:p>
        </w:tc>
        <w:tc>
          <w:tcPr>
            <w:tcW w:w="6057" w:type="dxa"/>
            <w:gridSpan w:val="6"/>
            <w:shd w:val="clear" w:color="auto" w:fill="auto"/>
          </w:tcPr>
          <w:p w:rsidR="002E4846" w:rsidRPr="00B547AF" w:rsidRDefault="00107D81" w:rsidP="002E4846">
            <w:pPr>
              <w:rPr>
                <w:i/>
              </w:rPr>
            </w:pPr>
            <w:r w:rsidRPr="00B547AF">
              <w:rPr>
                <w:i/>
              </w:rPr>
              <w:t>Founders</w:t>
            </w:r>
            <w:r w:rsidR="002E4846" w:rsidRPr="00B547AF">
              <w:rPr>
                <w:i/>
              </w:rPr>
              <w:t xml:space="preserve"> own their shares outright, subject to the Company’s right to </w:t>
            </w:r>
            <w:proofErr w:type="spellStart"/>
            <w:r w:rsidR="002E4846" w:rsidRPr="00B547AF">
              <w:rPr>
                <w:i/>
              </w:rPr>
              <w:t>buyback</w:t>
            </w:r>
            <w:proofErr w:type="spellEnd"/>
            <w:r w:rsidR="002E4846" w:rsidRPr="00B547AF">
              <w:rPr>
                <w:i/>
              </w:rPr>
              <w:t xml:space="preserve"> up to </w:t>
            </w:r>
            <w:r w:rsidR="002E4846" w:rsidRPr="00B547AF">
              <w:rPr>
                <w:b/>
                <w:i/>
              </w:rPr>
              <w:t>[</w:t>
            </w:r>
            <w:r w:rsidR="002E4846" w:rsidRPr="00B547AF">
              <w:rPr>
                <w:i/>
              </w:rPr>
              <w:t>[●]% of</w:t>
            </w:r>
            <w:r w:rsidR="002E4846" w:rsidRPr="00B547AF">
              <w:rPr>
                <w:b/>
                <w:i/>
              </w:rPr>
              <w:t>]</w:t>
            </w:r>
            <w:r w:rsidR="00B67523">
              <w:rPr>
                <w:rStyle w:val="FootnoteReference"/>
                <w:b/>
                <w:i/>
              </w:rPr>
              <w:footnoteReference w:id="21"/>
            </w:r>
            <w:r w:rsidR="002E4846" w:rsidRPr="00B547AF">
              <w:rPr>
                <w:i/>
              </w:rPr>
              <w:t xml:space="preserve"> the shares (</w:t>
            </w:r>
            <w:r w:rsidR="002E4846" w:rsidRPr="00B547AF">
              <w:rPr>
                <w:b/>
                <w:i/>
              </w:rPr>
              <w:t>Unvested Shares</w:t>
            </w:r>
            <w:r w:rsidR="002E4846" w:rsidRPr="00B547AF">
              <w:rPr>
                <w:i/>
              </w:rPr>
              <w:t xml:space="preserve">) held by each </w:t>
            </w:r>
            <w:r w:rsidRPr="00B547AF">
              <w:rPr>
                <w:i/>
              </w:rPr>
              <w:t>Founder</w:t>
            </w:r>
            <w:r w:rsidR="002E4846" w:rsidRPr="00B547AF">
              <w:rPr>
                <w:i/>
              </w:rPr>
              <w:t xml:space="preserve"> at cost where the </w:t>
            </w:r>
            <w:r w:rsidRPr="00B547AF">
              <w:rPr>
                <w:i/>
              </w:rPr>
              <w:t>Founder</w:t>
            </w:r>
            <w:r w:rsidR="002E4846" w:rsidRPr="00B547AF">
              <w:rPr>
                <w:i/>
              </w:rPr>
              <w:t xml:space="preserve"> ceases to be engaged in the Company.  </w:t>
            </w:r>
          </w:p>
          <w:p w:rsidR="002E4846" w:rsidRPr="00B547AF" w:rsidRDefault="002E4846" w:rsidP="002E4846">
            <w:pPr>
              <w:rPr>
                <w:i/>
              </w:rPr>
            </w:pPr>
          </w:p>
          <w:p w:rsidR="002E4846" w:rsidRPr="00B547AF" w:rsidRDefault="002E4846" w:rsidP="002E4846">
            <w:pPr>
              <w:rPr>
                <w:i/>
              </w:rPr>
            </w:pPr>
            <w:r w:rsidRPr="00B547AF">
              <w:rPr>
                <w:i/>
              </w:rPr>
              <w:t xml:space="preserve">The vesting arrangements for Unvested Shares shall be: </w:t>
            </w:r>
          </w:p>
          <w:p w:rsidR="002E4846" w:rsidRPr="00B547AF" w:rsidRDefault="002E4846" w:rsidP="002E4846">
            <w:pPr>
              <w:pStyle w:val="ListParagraph"/>
              <w:numPr>
                <w:ilvl w:val="0"/>
                <w:numId w:val="30"/>
              </w:numPr>
              <w:rPr>
                <w:i/>
              </w:rPr>
            </w:pPr>
            <w:r w:rsidRPr="00B547AF">
              <w:rPr>
                <w:b/>
                <w:i/>
              </w:rPr>
              <w:t>[</w:t>
            </w:r>
            <w:r w:rsidRPr="00B547AF">
              <w:rPr>
                <w:i/>
              </w:rPr>
              <w:t>●</w:t>
            </w:r>
            <w:r w:rsidRPr="00B547AF">
              <w:rPr>
                <w:b/>
                <w:i/>
              </w:rPr>
              <w:t>]</w:t>
            </w:r>
            <w:r w:rsidRPr="00B547AF">
              <w:rPr>
                <w:i/>
              </w:rPr>
              <w:t xml:space="preserve">% of the Unvested Shares will vest (i.e., no longer be subject to such buyback) upon the </w:t>
            </w:r>
            <w:r w:rsidRPr="00B547AF">
              <w:rPr>
                <w:b/>
                <w:i/>
              </w:rPr>
              <w:t>[</w:t>
            </w:r>
            <w:r w:rsidRPr="00B547AF">
              <w:rPr>
                <w:i/>
              </w:rPr>
              <w:t>●</w:t>
            </w:r>
            <w:r w:rsidRPr="00B547AF">
              <w:rPr>
                <w:b/>
                <w:i/>
              </w:rPr>
              <w:t>]</w:t>
            </w:r>
            <w:r w:rsidRPr="00B547AF">
              <w:rPr>
                <w:i/>
              </w:rPr>
              <w:t xml:space="preserve"> month anniversary after Completion; and </w:t>
            </w:r>
          </w:p>
          <w:p w:rsidR="002E4846" w:rsidRPr="00B547AF" w:rsidRDefault="002E4846" w:rsidP="002E4846">
            <w:pPr>
              <w:pStyle w:val="ListParagraph"/>
              <w:numPr>
                <w:ilvl w:val="0"/>
                <w:numId w:val="30"/>
              </w:numPr>
              <w:rPr>
                <w:i/>
              </w:rPr>
            </w:pPr>
            <w:proofErr w:type="gramStart"/>
            <w:r w:rsidRPr="00B547AF">
              <w:rPr>
                <w:i/>
              </w:rPr>
              <w:t>the</w:t>
            </w:r>
            <w:proofErr w:type="gramEnd"/>
            <w:r w:rsidRPr="00B547AF">
              <w:rPr>
                <w:i/>
              </w:rPr>
              <w:t xml:space="preserve"> balance of the Unvested Shares will vest in </w:t>
            </w:r>
            <w:r w:rsidRPr="00B547AF">
              <w:rPr>
                <w:b/>
                <w:i/>
              </w:rPr>
              <w:t>[</w:t>
            </w:r>
            <w:r w:rsidRPr="00B547AF">
              <w:rPr>
                <w:i/>
              </w:rPr>
              <w:t>monthly/yearly</w:t>
            </w:r>
            <w:r w:rsidRPr="00B547AF">
              <w:rPr>
                <w:b/>
                <w:i/>
              </w:rPr>
              <w:t>]</w:t>
            </w:r>
            <w:r w:rsidRPr="00B547AF">
              <w:rPr>
                <w:i/>
              </w:rPr>
              <w:t xml:space="preserve"> increments over </w:t>
            </w:r>
            <w:r w:rsidRPr="00B547AF">
              <w:rPr>
                <w:b/>
                <w:i/>
              </w:rPr>
              <w:t>[</w:t>
            </w:r>
            <w:r w:rsidRPr="00B547AF">
              <w:rPr>
                <w:i/>
              </w:rPr>
              <w:t>●</w:t>
            </w:r>
            <w:r w:rsidRPr="00B547AF">
              <w:rPr>
                <w:b/>
                <w:i/>
              </w:rPr>
              <w:t xml:space="preserve">] </w:t>
            </w:r>
            <w:r w:rsidRPr="00B547AF">
              <w:rPr>
                <w:i/>
              </w:rPr>
              <w:t xml:space="preserve">further </w:t>
            </w:r>
            <w:r w:rsidRPr="00B547AF">
              <w:rPr>
                <w:b/>
                <w:i/>
              </w:rPr>
              <w:t>[</w:t>
            </w:r>
            <w:r w:rsidRPr="00B547AF">
              <w:rPr>
                <w:i/>
              </w:rPr>
              <w:t>months/years</w:t>
            </w:r>
            <w:r w:rsidRPr="00B547AF">
              <w:rPr>
                <w:b/>
                <w:i/>
              </w:rPr>
              <w:t>]</w:t>
            </w:r>
            <w:r w:rsidRPr="00B547AF">
              <w:rPr>
                <w:i/>
              </w:rPr>
              <w:t xml:space="preserve">. </w:t>
            </w:r>
          </w:p>
          <w:p w:rsidR="002E4846" w:rsidRPr="00B547AF" w:rsidRDefault="002E4846" w:rsidP="002E4846">
            <w:pPr>
              <w:rPr>
                <w:b/>
                <w:i/>
              </w:rPr>
            </w:pPr>
          </w:p>
          <w:p w:rsidR="002E4846" w:rsidRPr="00B547AF" w:rsidRDefault="002E4846" w:rsidP="002E4846">
            <w:pPr>
              <w:rPr>
                <w:i/>
              </w:rPr>
            </w:pPr>
            <w:r w:rsidRPr="00B547AF">
              <w:rPr>
                <w:b/>
                <w:i/>
              </w:rPr>
              <w:t>[</w:t>
            </w:r>
            <w:r w:rsidRPr="00B547AF">
              <w:rPr>
                <w:i/>
              </w:rPr>
              <w:t xml:space="preserve">Where a </w:t>
            </w:r>
            <w:r w:rsidR="00107D81" w:rsidRPr="00B547AF">
              <w:rPr>
                <w:i/>
              </w:rPr>
              <w:t>Founder</w:t>
            </w:r>
            <w:r w:rsidRPr="00B547AF">
              <w:rPr>
                <w:i/>
              </w:rPr>
              <w:t xml:space="preserve"> ceases to be engaged in the Company in a Bad Leaver situation, the Company shall also have a right to </w:t>
            </w:r>
            <w:proofErr w:type="spellStart"/>
            <w:r w:rsidRPr="00B547AF">
              <w:rPr>
                <w:i/>
              </w:rPr>
              <w:t>buyback</w:t>
            </w:r>
            <w:proofErr w:type="spellEnd"/>
            <w:r w:rsidRPr="00B547AF">
              <w:rPr>
                <w:i/>
              </w:rPr>
              <w:t xml:space="preserve"> the Bad Leaver’s vested shares at fair market value.</w:t>
            </w:r>
            <w:r w:rsidRPr="00B547AF">
              <w:rPr>
                <w:b/>
                <w:i/>
              </w:rPr>
              <w:t>]</w:t>
            </w:r>
          </w:p>
          <w:p w:rsidR="002E4846" w:rsidRPr="00B547AF" w:rsidRDefault="002E4846" w:rsidP="002E4846">
            <w:pPr>
              <w:rPr>
                <w:i/>
              </w:rPr>
            </w:pPr>
          </w:p>
        </w:tc>
      </w:tr>
      <w:tr w:rsidR="002E4846" w:rsidRPr="00F771B4" w:rsidTr="00114C61">
        <w:tc>
          <w:tcPr>
            <w:tcW w:w="2619" w:type="dxa"/>
            <w:shd w:val="clear" w:color="auto" w:fill="auto"/>
          </w:tcPr>
          <w:p w:rsidR="002E4846" w:rsidRPr="00CC24B1" w:rsidRDefault="002E4846" w:rsidP="002446BF">
            <w:pPr>
              <w:jc w:val="left"/>
              <w:rPr>
                <w:b/>
                <w:szCs w:val="21"/>
              </w:rPr>
            </w:pPr>
            <w:r w:rsidRPr="00CC24B1">
              <w:rPr>
                <w:b/>
                <w:iCs/>
                <w:szCs w:val="21"/>
                <w:lang w:val="en-US"/>
              </w:rPr>
              <w:t xml:space="preserve">Non-Competition and Non-Solicitation </w:t>
            </w:r>
            <w:bookmarkStart w:id="0" w:name="_DV_M84"/>
            <w:bookmarkEnd w:id="0"/>
            <w:r w:rsidRPr="00CC24B1">
              <w:rPr>
                <w:b/>
                <w:iCs/>
                <w:szCs w:val="21"/>
                <w:lang w:val="en-US"/>
              </w:rPr>
              <w:t>Agreement</w:t>
            </w:r>
          </w:p>
        </w:tc>
        <w:tc>
          <w:tcPr>
            <w:tcW w:w="6057" w:type="dxa"/>
            <w:gridSpan w:val="6"/>
            <w:shd w:val="clear" w:color="auto" w:fill="auto"/>
          </w:tcPr>
          <w:p w:rsidR="002E4846" w:rsidRPr="00CC24B1" w:rsidRDefault="002E4846" w:rsidP="002E4846">
            <w:r w:rsidRPr="00CC24B1">
              <w:t xml:space="preserve">Each </w:t>
            </w:r>
            <w:r w:rsidR="00107D81">
              <w:t>Founder</w:t>
            </w:r>
            <w:r w:rsidRPr="00CC24B1">
              <w:t xml:space="preserve"> will enter into non-competition and non-solicitation restrictions. The restrictions will apply while they </w:t>
            </w:r>
            <w:r>
              <w:t xml:space="preserve">(or their associates) </w:t>
            </w:r>
            <w:r w:rsidRPr="00CC24B1">
              <w:t xml:space="preserve">are shareholders, and for a </w:t>
            </w:r>
            <w:r w:rsidRPr="00CC24B1">
              <w:rPr>
                <w:b/>
              </w:rPr>
              <w:t>[</w:t>
            </w:r>
            <w:r w:rsidRPr="00CC24B1">
              <w:rPr>
                <w:i/>
              </w:rPr>
              <w:t>12</w:t>
            </w:r>
            <w:r w:rsidRPr="00CC24B1">
              <w:rPr>
                <w:b/>
              </w:rPr>
              <w:t>]</w:t>
            </w:r>
            <w:r w:rsidRPr="00CC24B1">
              <w:t xml:space="preserve"> month period from ceasing to be actively engaged by the Company.  The restrictions will not apply to any activities approved by the Board</w:t>
            </w:r>
            <w:r>
              <w:t>, including the Investor Director (if any)</w:t>
            </w:r>
            <w:r w:rsidRPr="00CC24B1">
              <w:t>.</w:t>
            </w:r>
          </w:p>
          <w:p w:rsidR="002E4846" w:rsidRPr="00CC24B1" w:rsidRDefault="002E4846" w:rsidP="002E4846"/>
        </w:tc>
      </w:tr>
      <w:tr w:rsidR="002E4846" w:rsidRPr="00F771B4" w:rsidTr="00CC24B1">
        <w:tc>
          <w:tcPr>
            <w:tcW w:w="8676" w:type="dxa"/>
            <w:gridSpan w:val="7"/>
            <w:shd w:val="clear" w:color="auto" w:fill="BFBFBF" w:themeFill="background1" w:themeFillShade="BF"/>
          </w:tcPr>
          <w:p w:rsidR="002E4846" w:rsidRDefault="002E4846" w:rsidP="002E4846">
            <w:pPr>
              <w:jc w:val="center"/>
              <w:rPr>
                <w:b/>
              </w:rPr>
            </w:pPr>
            <w:r>
              <w:rPr>
                <w:b/>
              </w:rPr>
              <w:t>Other</w:t>
            </w:r>
          </w:p>
          <w:p w:rsidR="002E4846" w:rsidRPr="00F771B4" w:rsidRDefault="002E4846" w:rsidP="002E4846">
            <w:pPr>
              <w:jc w:val="center"/>
            </w:pPr>
          </w:p>
        </w:tc>
      </w:tr>
      <w:tr w:rsidR="002E4846" w:rsidRPr="00F771B4" w:rsidTr="00114C61">
        <w:tc>
          <w:tcPr>
            <w:tcW w:w="2619" w:type="dxa"/>
            <w:shd w:val="clear" w:color="auto" w:fill="auto"/>
          </w:tcPr>
          <w:p w:rsidR="002E4846" w:rsidRPr="00F771B4" w:rsidRDefault="002E4846" w:rsidP="002E4846">
            <w:pPr>
              <w:jc w:val="left"/>
              <w:rPr>
                <w:b/>
              </w:rPr>
            </w:pPr>
            <w:r w:rsidRPr="00F771B4">
              <w:rPr>
                <w:b/>
              </w:rPr>
              <w:t>Investment Documents</w:t>
            </w:r>
          </w:p>
        </w:tc>
        <w:tc>
          <w:tcPr>
            <w:tcW w:w="6057" w:type="dxa"/>
            <w:gridSpan w:val="6"/>
            <w:shd w:val="clear" w:color="auto" w:fill="auto"/>
          </w:tcPr>
          <w:p w:rsidR="002E4846" w:rsidRPr="00F771B4" w:rsidRDefault="002E4846" w:rsidP="002E4846">
            <w:r w:rsidRPr="00F771B4">
              <w:t xml:space="preserve">The Investment Documents will be prepared by the Company </w:t>
            </w:r>
            <w:r w:rsidR="00552798">
              <w:t>using</w:t>
            </w:r>
            <w:r>
              <w:t xml:space="preserve"> </w:t>
            </w:r>
            <w:r w:rsidRPr="00F771B4">
              <w:t xml:space="preserve">the standard AANZ </w:t>
            </w:r>
            <w:r>
              <w:t>template subscription agreement, shareholders</w:t>
            </w:r>
            <w:r w:rsidR="00552798">
              <w:t>’</w:t>
            </w:r>
            <w:r>
              <w:t xml:space="preserve"> agreement, and constitution</w:t>
            </w:r>
            <w:r w:rsidRPr="00F771B4">
              <w:t>.</w:t>
            </w:r>
          </w:p>
          <w:p w:rsidR="002E4846" w:rsidRPr="00F771B4" w:rsidRDefault="002E4846" w:rsidP="002E4846">
            <w:r w:rsidRPr="00F771B4">
              <w:t xml:space="preserve"> </w:t>
            </w:r>
          </w:p>
        </w:tc>
      </w:tr>
      <w:tr w:rsidR="002E4846" w:rsidRPr="00F771B4" w:rsidTr="00114C61">
        <w:tc>
          <w:tcPr>
            <w:tcW w:w="2619" w:type="dxa"/>
            <w:shd w:val="clear" w:color="auto" w:fill="auto"/>
          </w:tcPr>
          <w:p w:rsidR="002E4846" w:rsidRPr="00F735E2" w:rsidRDefault="002E4846" w:rsidP="002E4846">
            <w:pPr>
              <w:spacing w:before="60"/>
              <w:jc w:val="left"/>
              <w:rPr>
                <w:b/>
                <w:i/>
              </w:rPr>
            </w:pPr>
            <w:r w:rsidRPr="00F735E2">
              <w:rPr>
                <w:b/>
                <w:i/>
              </w:rPr>
              <w:t>[Other Key Terms]</w:t>
            </w:r>
          </w:p>
          <w:p w:rsidR="002E4846" w:rsidRPr="00F735E2" w:rsidRDefault="002E4846" w:rsidP="002E4846">
            <w:pPr>
              <w:jc w:val="left"/>
              <w:rPr>
                <w:b/>
                <w:i/>
              </w:rPr>
            </w:pPr>
          </w:p>
        </w:tc>
        <w:tc>
          <w:tcPr>
            <w:tcW w:w="6057" w:type="dxa"/>
            <w:gridSpan w:val="6"/>
            <w:shd w:val="clear" w:color="auto" w:fill="auto"/>
          </w:tcPr>
          <w:p w:rsidR="002E4846" w:rsidRPr="00F735E2" w:rsidRDefault="002E4846" w:rsidP="002E4846">
            <w:pPr>
              <w:rPr>
                <w:b/>
                <w:i/>
              </w:rPr>
            </w:pPr>
            <w:r w:rsidRPr="00F735E2">
              <w:rPr>
                <w:b/>
                <w:i/>
              </w:rPr>
              <w:t>[</w:t>
            </w:r>
            <w:r w:rsidRPr="00F735E2">
              <w:rPr>
                <w:i/>
              </w:rPr>
              <w:t>Insert other key terms as required</w:t>
            </w:r>
            <w:r w:rsidRPr="00F735E2">
              <w:rPr>
                <w:b/>
                <w:i/>
              </w:rPr>
              <w:t xml:space="preserve">] </w:t>
            </w:r>
          </w:p>
          <w:p w:rsidR="002E4846" w:rsidRPr="00F735E2" w:rsidRDefault="002E4846" w:rsidP="002E4846">
            <w:pPr>
              <w:rPr>
                <w:b/>
                <w:i/>
              </w:rPr>
            </w:pPr>
          </w:p>
        </w:tc>
      </w:tr>
      <w:tr w:rsidR="002E4846" w:rsidRPr="00F771B4" w:rsidTr="00497570">
        <w:tc>
          <w:tcPr>
            <w:tcW w:w="8676" w:type="dxa"/>
            <w:gridSpan w:val="7"/>
            <w:shd w:val="clear" w:color="auto" w:fill="000000" w:themeFill="text1"/>
          </w:tcPr>
          <w:p w:rsidR="002E4846" w:rsidRPr="00F771B4" w:rsidRDefault="002E4846" w:rsidP="002E4846">
            <w:pPr>
              <w:jc w:val="center"/>
              <w:rPr>
                <w:b/>
              </w:rPr>
            </w:pPr>
            <w:r w:rsidRPr="00F771B4">
              <w:rPr>
                <w:b/>
              </w:rPr>
              <w:t>PART B: LEGALLY BINDING TERMS</w:t>
            </w:r>
          </w:p>
          <w:p w:rsidR="002E4846" w:rsidRPr="00F771B4" w:rsidRDefault="002E4846" w:rsidP="002E4846">
            <w:pPr>
              <w:jc w:val="center"/>
            </w:pPr>
          </w:p>
        </w:tc>
      </w:tr>
      <w:tr w:rsidR="002E4846" w:rsidRPr="00F771B4" w:rsidTr="00114C61">
        <w:tc>
          <w:tcPr>
            <w:tcW w:w="2619" w:type="dxa"/>
            <w:shd w:val="clear" w:color="auto" w:fill="auto"/>
          </w:tcPr>
          <w:p w:rsidR="002E4846" w:rsidRPr="00CC24B1" w:rsidRDefault="002E4846" w:rsidP="002E4846">
            <w:pPr>
              <w:jc w:val="left"/>
              <w:rPr>
                <w:b/>
                <w:i/>
              </w:rPr>
            </w:pPr>
            <w:r w:rsidRPr="00CC24B1">
              <w:rPr>
                <w:b/>
                <w:i/>
              </w:rPr>
              <w:t>[Exclusive Period]</w:t>
            </w:r>
            <w:r w:rsidR="009874D2">
              <w:rPr>
                <w:rStyle w:val="FootnoteReference"/>
                <w:b/>
                <w:i/>
              </w:rPr>
              <w:footnoteReference w:id="22"/>
            </w:r>
          </w:p>
          <w:p w:rsidR="002E4846" w:rsidRPr="00CC24B1" w:rsidRDefault="002E4846" w:rsidP="002E4846">
            <w:pPr>
              <w:rPr>
                <w:i/>
              </w:rPr>
            </w:pPr>
          </w:p>
          <w:p w:rsidR="002E4846" w:rsidRPr="00CC24B1" w:rsidRDefault="002E4846" w:rsidP="002E4846">
            <w:pPr>
              <w:rPr>
                <w:i/>
              </w:rPr>
            </w:pPr>
          </w:p>
          <w:p w:rsidR="002E4846" w:rsidRPr="00CC24B1" w:rsidRDefault="002E4846" w:rsidP="002E4846">
            <w:pPr>
              <w:rPr>
                <w:i/>
              </w:rPr>
            </w:pPr>
          </w:p>
          <w:p w:rsidR="002E4846" w:rsidRPr="00CC24B1" w:rsidRDefault="002E4846" w:rsidP="002E4846">
            <w:pPr>
              <w:rPr>
                <w:i/>
              </w:rPr>
            </w:pPr>
          </w:p>
          <w:p w:rsidR="002E4846" w:rsidRPr="00CC24B1" w:rsidRDefault="002E4846" w:rsidP="002E4846">
            <w:pPr>
              <w:rPr>
                <w:i/>
              </w:rPr>
            </w:pPr>
          </w:p>
          <w:p w:rsidR="002E4846" w:rsidRPr="00CC24B1" w:rsidRDefault="002E4846" w:rsidP="002E4846">
            <w:pPr>
              <w:jc w:val="center"/>
              <w:rPr>
                <w:i/>
              </w:rPr>
            </w:pPr>
          </w:p>
        </w:tc>
        <w:tc>
          <w:tcPr>
            <w:tcW w:w="6057" w:type="dxa"/>
            <w:gridSpan w:val="6"/>
            <w:shd w:val="clear" w:color="auto" w:fill="auto"/>
          </w:tcPr>
          <w:p w:rsidR="002E4846" w:rsidRPr="00CC24B1" w:rsidRDefault="002E4846" w:rsidP="002E4846">
            <w:pPr>
              <w:rPr>
                <w:i/>
              </w:rPr>
            </w:pPr>
            <w:r w:rsidRPr="00CC24B1">
              <w:rPr>
                <w:i/>
              </w:rPr>
              <w:t xml:space="preserve">For a period of </w:t>
            </w:r>
            <w:r w:rsidRPr="00CC24B1">
              <w:rPr>
                <w:b/>
                <w:i/>
              </w:rPr>
              <w:t>[</w:t>
            </w:r>
            <w:r>
              <w:rPr>
                <w:i/>
              </w:rPr>
              <w:t>3</w:t>
            </w:r>
            <w:r w:rsidRPr="00CC24B1">
              <w:rPr>
                <w:i/>
              </w:rPr>
              <w:t>0</w:t>
            </w:r>
            <w:r w:rsidRPr="00CC24B1">
              <w:rPr>
                <w:b/>
                <w:i/>
              </w:rPr>
              <w:t>]</w:t>
            </w:r>
            <w:r w:rsidRPr="00CC24B1">
              <w:rPr>
                <w:i/>
              </w:rPr>
              <w:t xml:space="preserve"> days from the date of signing this Term Sheet, (</w:t>
            </w:r>
            <w:r w:rsidRPr="00CC24B1">
              <w:rPr>
                <w:b/>
                <w:i/>
              </w:rPr>
              <w:t>Exclusivity Period</w:t>
            </w:r>
            <w:r w:rsidRPr="00CC24B1">
              <w:rPr>
                <w:i/>
              </w:rPr>
              <w:t>) none of the Company, its shareholders, directors, officers, contractors or employees will conduct any discussions whatsoever with any third party regarding any investment in the Company, except as may be approved by the Investors in their discretion.</w:t>
            </w:r>
          </w:p>
          <w:p w:rsidR="002E4846" w:rsidRPr="00CC24B1" w:rsidRDefault="002E4846" w:rsidP="002E4846">
            <w:pPr>
              <w:rPr>
                <w:i/>
              </w:rPr>
            </w:pPr>
          </w:p>
        </w:tc>
      </w:tr>
      <w:tr w:rsidR="002E4846" w:rsidRPr="00F771B4" w:rsidTr="00114C61">
        <w:tc>
          <w:tcPr>
            <w:tcW w:w="2619" w:type="dxa"/>
            <w:shd w:val="clear" w:color="auto" w:fill="auto"/>
          </w:tcPr>
          <w:p w:rsidR="002E4846" w:rsidRPr="00F771B4" w:rsidRDefault="002E4846" w:rsidP="002E4846">
            <w:pPr>
              <w:jc w:val="left"/>
              <w:rPr>
                <w:b/>
              </w:rPr>
            </w:pPr>
            <w:r w:rsidRPr="00F771B4">
              <w:rPr>
                <w:b/>
              </w:rPr>
              <w:t>Legal Costs</w:t>
            </w:r>
            <w:r w:rsidR="00C76159">
              <w:rPr>
                <w:rStyle w:val="FootnoteReference"/>
                <w:b/>
              </w:rPr>
              <w:footnoteReference w:id="23"/>
            </w:r>
          </w:p>
        </w:tc>
        <w:tc>
          <w:tcPr>
            <w:tcW w:w="6057" w:type="dxa"/>
            <w:gridSpan w:val="6"/>
            <w:shd w:val="clear" w:color="auto" w:fill="auto"/>
          </w:tcPr>
          <w:p w:rsidR="002E4846" w:rsidRPr="00F771B4" w:rsidRDefault="002E4846" w:rsidP="002E4846">
            <w:r w:rsidRPr="00F771B4">
              <w:t xml:space="preserve">The Company will pay all legal and professional costs incurred by </w:t>
            </w:r>
            <w:r w:rsidRPr="00F950D1">
              <w:rPr>
                <w:b/>
              </w:rPr>
              <w:t>[</w:t>
            </w:r>
            <w:r w:rsidRPr="00F950D1">
              <w:rPr>
                <w:i/>
              </w:rPr>
              <w:t>insert lead investor name</w:t>
            </w:r>
            <w:r w:rsidRPr="00F950D1">
              <w:rPr>
                <w:b/>
              </w:rPr>
              <w:t>]</w:t>
            </w:r>
            <w:r w:rsidRPr="00F771B4">
              <w:t xml:space="preserve"> relating to the Investment Documents and related documentation </w:t>
            </w:r>
            <w:r w:rsidRPr="00F771B4">
              <w:rPr>
                <w:b/>
              </w:rPr>
              <w:t>[</w:t>
            </w:r>
            <w:r w:rsidRPr="00F771B4">
              <w:rPr>
                <w:i/>
              </w:rPr>
              <w:t>up to a maximum of $</w:t>
            </w:r>
            <w:r w:rsidRPr="00F771B4">
              <w:rPr>
                <w:b/>
                <w:i/>
              </w:rPr>
              <w:t>[</w:t>
            </w:r>
            <w:r>
              <w:rPr>
                <w:i/>
              </w:rPr>
              <w:t>insert amount</w:t>
            </w:r>
            <w:r w:rsidRPr="00F771B4">
              <w:rPr>
                <w:b/>
                <w:i/>
              </w:rPr>
              <w:t>]</w:t>
            </w:r>
            <w:r w:rsidRPr="00F771B4">
              <w:rPr>
                <w:b/>
              </w:rPr>
              <w:t>]</w:t>
            </w:r>
            <w:r w:rsidRPr="00F771B4">
              <w:t xml:space="preserve"> plus GST, </w:t>
            </w:r>
            <w:r w:rsidRPr="00F771B4">
              <w:rPr>
                <w:b/>
              </w:rPr>
              <w:t>[</w:t>
            </w:r>
            <w:r w:rsidRPr="00F771B4">
              <w:rPr>
                <w:i/>
              </w:rPr>
              <w:t>whether or not Investment Documents are entered into</w:t>
            </w:r>
            <w:r w:rsidRPr="00F771B4">
              <w:t>.</w:t>
            </w:r>
            <w:r w:rsidRPr="00F771B4">
              <w:rPr>
                <w:b/>
              </w:rPr>
              <w:t>]</w:t>
            </w:r>
          </w:p>
          <w:p w:rsidR="002E4846" w:rsidRPr="00F771B4" w:rsidRDefault="002E4846" w:rsidP="002E4846"/>
          <w:p w:rsidR="002E4846" w:rsidRPr="00CC24B1" w:rsidRDefault="002E4846" w:rsidP="002E4846">
            <w:pPr>
              <w:rPr>
                <w:b/>
                <w:i/>
              </w:rPr>
            </w:pPr>
            <w:r w:rsidRPr="00F771B4">
              <w:t>The Company will pay its own legal and professional costs incurred by it in relation to the Investment Documents and related documentation</w:t>
            </w:r>
            <w:r w:rsidRPr="007D3A2E">
              <w:rPr>
                <w:i/>
              </w:rPr>
              <w:t>.</w:t>
            </w:r>
          </w:p>
          <w:p w:rsidR="002E4846" w:rsidRPr="00F771B4" w:rsidRDefault="002E4846" w:rsidP="002E4846"/>
        </w:tc>
      </w:tr>
      <w:tr w:rsidR="002E4846" w:rsidRPr="00F771B4" w:rsidTr="00114C61">
        <w:tc>
          <w:tcPr>
            <w:tcW w:w="2619" w:type="dxa"/>
            <w:shd w:val="clear" w:color="auto" w:fill="auto"/>
          </w:tcPr>
          <w:p w:rsidR="002E4846" w:rsidRPr="00F771B4" w:rsidRDefault="002E4846" w:rsidP="002E4846">
            <w:pPr>
              <w:jc w:val="left"/>
              <w:rPr>
                <w:b/>
              </w:rPr>
            </w:pPr>
            <w:r w:rsidRPr="00F771B4">
              <w:rPr>
                <w:b/>
              </w:rPr>
              <w:t>Confidentiality</w:t>
            </w:r>
          </w:p>
          <w:p w:rsidR="002E4846" w:rsidRPr="00F771B4" w:rsidRDefault="002E4846" w:rsidP="002E4846">
            <w:pPr>
              <w:jc w:val="left"/>
              <w:rPr>
                <w:b/>
              </w:rPr>
            </w:pPr>
          </w:p>
          <w:p w:rsidR="002E4846" w:rsidRPr="00F771B4" w:rsidRDefault="002E4846" w:rsidP="002E4846">
            <w:pPr>
              <w:jc w:val="left"/>
              <w:rPr>
                <w:b/>
              </w:rPr>
            </w:pPr>
          </w:p>
        </w:tc>
        <w:tc>
          <w:tcPr>
            <w:tcW w:w="6057" w:type="dxa"/>
            <w:gridSpan w:val="6"/>
            <w:shd w:val="clear" w:color="auto" w:fill="auto"/>
          </w:tcPr>
          <w:p w:rsidR="002E4846" w:rsidRPr="00F771B4" w:rsidRDefault="002E4846" w:rsidP="002E4846">
            <w:r w:rsidRPr="00F771B4">
              <w:t>The contents of this Term Sheet, and the fact that one has been issued, may only be disclosed by the Company to its shareholders, directors and advisers or other person(s) approved by the Investors (on a need to know basis).</w:t>
            </w:r>
          </w:p>
          <w:p w:rsidR="002E4846" w:rsidRPr="00F771B4" w:rsidRDefault="002E4846" w:rsidP="002E4846"/>
        </w:tc>
      </w:tr>
    </w:tbl>
    <w:p w:rsidR="002761B1" w:rsidRPr="00F771B4" w:rsidRDefault="002761B1" w:rsidP="002761B1">
      <w:pPr>
        <w:ind w:right="-860"/>
        <w:jc w:val="left"/>
      </w:pPr>
    </w:p>
    <w:p w:rsidR="002761B1" w:rsidRPr="00F771B4" w:rsidRDefault="002761B1" w:rsidP="002761B1">
      <w:pPr>
        <w:ind w:right="-860"/>
        <w:jc w:val="left"/>
      </w:pPr>
      <w:r w:rsidRPr="00F771B4">
        <w:t xml:space="preserve">The parties respectively acknowledge the intended investment terms described in Part A and agree to be bound by the terms in Part B. </w:t>
      </w:r>
    </w:p>
    <w:p w:rsidR="00D42874" w:rsidRPr="00F771B4" w:rsidRDefault="00D42874" w:rsidP="00D42874">
      <w:pPr>
        <w:jc w:val="left"/>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281"/>
        <w:gridCol w:w="4474"/>
      </w:tblGrid>
      <w:tr w:rsidR="009F78A7" w:rsidRPr="00F771B4" w:rsidTr="009F78A7">
        <w:tc>
          <w:tcPr>
            <w:tcW w:w="4106" w:type="dxa"/>
          </w:tcPr>
          <w:p w:rsidR="009F78A7" w:rsidRPr="00F771B4" w:rsidRDefault="009F78A7" w:rsidP="009F78A7">
            <w:pPr>
              <w:jc w:val="left"/>
              <w:rPr>
                <w:rFonts w:eastAsia="Calibri"/>
                <w:b/>
                <w:szCs w:val="21"/>
              </w:rPr>
            </w:pPr>
            <w:r w:rsidRPr="00F771B4">
              <w:rPr>
                <w:rFonts w:eastAsia="Calibri"/>
                <w:b/>
                <w:szCs w:val="21"/>
              </w:rPr>
              <w:t>SIGNED on behalf of the Investors</w:t>
            </w:r>
          </w:p>
        </w:tc>
        <w:tc>
          <w:tcPr>
            <w:tcW w:w="284" w:type="dxa"/>
          </w:tcPr>
          <w:p w:rsidR="009F78A7" w:rsidRPr="00F771B4" w:rsidRDefault="009F78A7" w:rsidP="009F78A7">
            <w:pPr>
              <w:jc w:val="left"/>
              <w:rPr>
                <w:rFonts w:eastAsia="Calibri"/>
                <w:b/>
                <w:szCs w:val="21"/>
              </w:rPr>
            </w:pPr>
          </w:p>
        </w:tc>
        <w:tc>
          <w:tcPr>
            <w:tcW w:w="4626" w:type="dxa"/>
          </w:tcPr>
          <w:p w:rsidR="009F78A7" w:rsidRPr="00F771B4" w:rsidRDefault="009F78A7" w:rsidP="009F78A7">
            <w:pPr>
              <w:jc w:val="left"/>
              <w:rPr>
                <w:rFonts w:eastAsia="Calibri"/>
                <w:b/>
                <w:szCs w:val="21"/>
              </w:rPr>
            </w:pPr>
            <w:r w:rsidRPr="00F771B4">
              <w:rPr>
                <w:rFonts w:eastAsia="Calibri"/>
                <w:b/>
                <w:szCs w:val="21"/>
              </w:rPr>
              <w:t xml:space="preserve">SIGNED on behalf of the Company </w:t>
            </w:r>
          </w:p>
        </w:tc>
      </w:tr>
      <w:tr w:rsidR="009F78A7" w:rsidRPr="00F771B4" w:rsidTr="009F78A7">
        <w:tc>
          <w:tcPr>
            <w:tcW w:w="4106" w:type="dxa"/>
            <w:tcBorders>
              <w:bottom w:val="single" w:sz="4" w:space="0" w:color="auto"/>
            </w:tcBorders>
          </w:tcPr>
          <w:p w:rsidR="009F78A7" w:rsidRPr="00F771B4" w:rsidRDefault="009F78A7" w:rsidP="009F78A7">
            <w:pPr>
              <w:jc w:val="left"/>
              <w:rPr>
                <w:rFonts w:eastAsia="Calibri"/>
                <w:b/>
                <w:szCs w:val="21"/>
              </w:rPr>
            </w:pPr>
          </w:p>
          <w:p w:rsidR="009F78A7" w:rsidRPr="00F771B4" w:rsidRDefault="009F78A7" w:rsidP="009F78A7">
            <w:pPr>
              <w:jc w:val="left"/>
              <w:rPr>
                <w:rFonts w:eastAsia="Calibri"/>
                <w:b/>
                <w:szCs w:val="21"/>
              </w:rPr>
            </w:pPr>
          </w:p>
          <w:p w:rsidR="009F78A7" w:rsidRPr="00F771B4" w:rsidRDefault="009F78A7" w:rsidP="009F78A7">
            <w:pPr>
              <w:jc w:val="left"/>
              <w:rPr>
                <w:rFonts w:eastAsia="Calibri"/>
                <w:b/>
                <w:szCs w:val="21"/>
              </w:rPr>
            </w:pPr>
          </w:p>
        </w:tc>
        <w:tc>
          <w:tcPr>
            <w:tcW w:w="284" w:type="dxa"/>
          </w:tcPr>
          <w:p w:rsidR="009F78A7" w:rsidRPr="00F771B4" w:rsidRDefault="009F78A7" w:rsidP="009F78A7">
            <w:pPr>
              <w:jc w:val="left"/>
              <w:rPr>
                <w:rFonts w:eastAsia="Calibri"/>
                <w:b/>
                <w:szCs w:val="21"/>
              </w:rPr>
            </w:pPr>
          </w:p>
        </w:tc>
        <w:tc>
          <w:tcPr>
            <w:tcW w:w="4626" w:type="dxa"/>
            <w:tcBorders>
              <w:bottom w:val="single" w:sz="4" w:space="0" w:color="auto"/>
            </w:tcBorders>
          </w:tcPr>
          <w:p w:rsidR="009F78A7" w:rsidRPr="00F771B4" w:rsidRDefault="009F78A7" w:rsidP="009F78A7">
            <w:pPr>
              <w:jc w:val="left"/>
              <w:rPr>
                <w:rFonts w:eastAsia="Calibri"/>
                <w:b/>
                <w:szCs w:val="21"/>
              </w:rPr>
            </w:pPr>
          </w:p>
        </w:tc>
      </w:tr>
      <w:tr w:rsidR="009F78A7" w:rsidRPr="00F771B4" w:rsidTr="009F78A7">
        <w:tc>
          <w:tcPr>
            <w:tcW w:w="4106" w:type="dxa"/>
            <w:tcBorders>
              <w:top w:val="single" w:sz="4" w:space="0" w:color="auto"/>
              <w:bottom w:val="single" w:sz="4" w:space="0" w:color="auto"/>
            </w:tcBorders>
          </w:tcPr>
          <w:p w:rsidR="009F78A7" w:rsidRPr="00F771B4" w:rsidRDefault="009F78A7" w:rsidP="009F78A7">
            <w:pPr>
              <w:jc w:val="left"/>
              <w:rPr>
                <w:rFonts w:eastAsia="Calibri"/>
                <w:i/>
                <w:sz w:val="16"/>
                <w:szCs w:val="16"/>
              </w:rPr>
            </w:pPr>
            <w:r w:rsidRPr="00F771B4">
              <w:rPr>
                <w:rFonts w:eastAsia="Calibri"/>
                <w:i/>
                <w:sz w:val="16"/>
                <w:szCs w:val="16"/>
              </w:rPr>
              <w:t>Name</w:t>
            </w:r>
          </w:p>
          <w:p w:rsidR="009F78A7" w:rsidRPr="00F771B4" w:rsidRDefault="009F78A7" w:rsidP="009F78A7">
            <w:pPr>
              <w:jc w:val="left"/>
              <w:rPr>
                <w:rFonts w:eastAsia="Calibri"/>
                <w:i/>
                <w:sz w:val="16"/>
                <w:szCs w:val="16"/>
              </w:rPr>
            </w:pPr>
          </w:p>
          <w:p w:rsidR="009F78A7" w:rsidRPr="00F771B4" w:rsidRDefault="009F78A7" w:rsidP="009F78A7">
            <w:pPr>
              <w:jc w:val="left"/>
              <w:rPr>
                <w:rFonts w:eastAsia="Calibri"/>
                <w:i/>
                <w:sz w:val="16"/>
                <w:szCs w:val="16"/>
              </w:rPr>
            </w:pPr>
          </w:p>
        </w:tc>
        <w:tc>
          <w:tcPr>
            <w:tcW w:w="284" w:type="dxa"/>
          </w:tcPr>
          <w:p w:rsidR="009F78A7" w:rsidRPr="00F771B4" w:rsidRDefault="009F78A7" w:rsidP="009F78A7">
            <w:pPr>
              <w:jc w:val="left"/>
              <w:rPr>
                <w:rFonts w:eastAsia="Calibri"/>
                <w:i/>
                <w:sz w:val="16"/>
                <w:szCs w:val="16"/>
              </w:rPr>
            </w:pPr>
          </w:p>
        </w:tc>
        <w:tc>
          <w:tcPr>
            <w:tcW w:w="4626" w:type="dxa"/>
            <w:tcBorders>
              <w:top w:val="single" w:sz="4" w:space="0" w:color="auto"/>
              <w:bottom w:val="single" w:sz="4" w:space="0" w:color="auto"/>
            </w:tcBorders>
          </w:tcPr>
          <w:p w:rsidR="009F78A7" w:rsidRPr="00F771B4" w:rsidRDefault="009F78A7" w:rsidP="009F78A7">
            <w:pPr>
              <w:jc w:val="left"/>
              <w:rPr>
                <w:rFonts w:eastAsia="Calibri"/>
                <w:i/>
                <w:sz w:val="16"/>
                <w:szCs w:val="16"/>
              </w:rPr>
            </w:pPr>
            <w:r w:rsidRPr="00F771B4">
              <w:rPr>
                <w:rFonts w:eastAsia="Calibri"/>
                <w:i/>
                <w:sz w:val="16"/>
                <w:szCs w:val="16"/>
              </w:rPr>
              <w:t>Name</w:t>
            </w:r>
          </w:p>
        </w:tc>
      </w:tr>
      <w:tr w:rsidR="009F78A7" w:rsidRPr="00F771B4" w:rsidTr="009F78A7">
        <w:tc>
          <w:tcPr>
            <w:tcW w:w="4106" w:type="dxa"/>
            <w:tcBorders>
              <w:top w:val="single" w:sz="4" w:space="0" w:color="auto"/>
            </w:tcBorders>
          </w:tcPr>
          <w:p w:rsidR="009F78A7" w:rsidRPr="00F771B4" w:rsidRDefault="009F78A7" w:rsidP="009F78A7">
            <w:pPr>
              <w:jc w:val="left"/>
              <w:rPr>
                <w:rFonts w:eastAsia="Calibri"/>
                <w:i/>
                <w:sz w:val="16"/>
                <w:szCs w:val="16"/>
              </w:rPr>
            </w:pPr>
            <w:r w:rsidRPr="00F771B4">
              <w:rPr>
                <w:rFonts w:eastAsia="Calibri"/>
                <w:i/>
                <w:sz w:val="16"/>
                <w:szCs w:val="16"/>
              </w:rPr>
              <w:t>Date</w:t>
            </w:r>
          </w:p>
        </w:tc>
        <w:tc>
          <w:tcPr>
            <w:tcW w:w="284" w:type="dxa"/>
          </w:tcPr>
          <w:p w:rsidR="009F78A7" w:rsidRPr="00F771B4" w:rsidRDefault="009F78A7" w:rsidP="009F78A7">
            <w:pPr>
              <w:jc w:val="left"/>
              <w:rPr>
                <w:rFonts w:eastAsia="Calibri"/>
                <w:i/>
                <w:sz w:val="16"/>
                <w:szCs w:val="16"/>
              </w:rPr>
            </w:pPr>
          </w:p>
        </w:tc>
        <w:tc>
          <w:tcPr>
            <w:tcW w:w="4626" w:type="dxa"/>
            <w:tcBorders>
              <w:top w:val="single" w:sz="4" w:space="0" w:color="auto"/>
            </w:tcBorders>
          </w:tcPr>
          <w:p w:rsidR="009F78A7" w:rsidRPr="00F771B4" w:rsidRDefault="009F78A7" w:rsidP="009F78A7">
            <w:pPr>
              <w:jc w:val="left"/>
              <w:rPr>
                <w:rFonts w:eastAsia="Calibri"/>
                <w:i/>
                <w:sz w:val="16"/>
                <w:szCs w:val="16"/>
              </w:rPr>
            </w:pPr>
            <w:r w:rsidRPr="00F771B4">
              <w:rPr>
                <w:rFonts w:eastAsia="Calibri"/>
                <w:i/>
                <w:sz w:val="16"/>
                <w:szCs w:val="16"/>
              </w:rPr>
              <w:t>Date</w:t>
            </w:r>
          </w:p>
        </w:tc>
      </w:tr>
    </w:tbl>
    <w:p w:rsidR="00D42874" w:rsidRPr="00F771B4" w:rsidRDefault="00D42874" w:rsidP="00D42874">
      <w:pPr>
        <w:ind w:right="-993"/>
        <w:jc w:val="left"/>
        <w:rPr>
          <w:b/>
        </w:rPr>
      </w:pPr>
    </w:p>
    <w:p w:rsidR="00D42874" w:rsidRPr="00F771B4" w:rsidRDefault="00D42874" w:rsidP="00D42874">
      <w:pPr>
        <w:ind w:right="-993"/>
        <w:jc w:val="center"/>
      </w:pPr>
    </w:p>
    <w:p w:rsidR="00863E8D" w:rsidRPr="00F771B4" w:rsidRDefault="00863E8D" w:rsidP="009F78A7">
      <w:pPr>
        <w:ind w:right="29"/>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055"/>
      </w:tblGrid>
      <w:tr w:rsidR="009F78A7" w:rsidRPr="00F771B4" w:rsidTr="008B151F">
        <w:tc>
          <w:tcPr>
            <w:tcW w:w="8725" w:type="dxa"/>
            <w:gridSpan w:val="2"/>
            <w:shd w:val="clear" w:color="auto" w:fill="BFBFBF" w:themeFill="background1" w:themeFillShade="BF"/>
          </w:tcPr>
          <w:p w:rsidR="009F78A7" w:rsidRPr="00F771B4" w:rsidRDefault="009F78A7" w:rsidP="008B151F">
            <w:pPr>
              <w:spacing w:before="60" w:after="60"/>
              <w:ind w:right="-57"/>
              <w:jc w:val="left"/>
              <w:rPr>
                <w:b/>
                <w:szCs w:val="21"/>
              </w:rPr>
            </w:pPr>
            <w:r w:rsidRPr="00F771B4">
              <w:rPr>
                <w:b/>
                <w:szCs w:val="21"/>
              </w:rPr>
              <w:t xml:space="preserve">COMMITTED INVESTORS </w:t>
            </w:r>
          </w:p>
        </w:tc>
      </w:tr>
      <w:tr w:rsidR="009F78A7" w:rsidRPr="00F771B4" w:rsidTr="008B151F">
        <w:tc>
          <w:tcPr>
            <w:tcW w:w="5670" w:type="dxa"/>
            <w:shd w:val="clear" w:color="auto" w:fill="auto"/>
          </w:tcPr>
          <w:p w:rsidR="009F78A7" w:rsidRPr="00F771B4" w:rsidRDefault="009F78A7" w:rsidP="008B151F">
            <w:pPr>
              <w:spacing w:before="60" w:after="60"/>
              <w:ind w:right="-8"/>
              <w:jc w:val="left"/>
              <w:rPr>
                <w:b/>
                <w:szCs w:val="21"/>
              </w:rPr>
            </w:pPr>
            <w:r w:rsidRPr="00F771B4">
              <w:rPr>
                <w:b/>
                <w:szCs w:val="21"/>
              </w:rPr>
              <w:t xml:space="preserve">Name </w:t>
            </w:r>
          </w:p>
        </w:tc>
        <w:tc>
          <w:tcPr>
            <w:tcW w:w="3055" w:type="dxa"/>
            <w:shd w:val="clear" w:color="auto" w:fill="auto"/>
          </w:tcPr>
          <w:p w:rsidR="009F78A7" w:rsidRPr="00F771B4" w:rsidRDefault="009F78A7" w:rsidP="008B151F">
            <w:pPr>
              <w:spacing w:before="60" w:after="60"/>
              <w:ind w:right="-57"/>
              <w:jc w:val="left"/>
              <w:rPr>
                <w:b/>
                <w:szCs w:val="21"/>
              </w:rPr>
            </w:pPr>
            <w:r w:rsidRPr="00F771B4">
              <w:rPr>
                <w:b/>
                <w:szCs w:val="21"/>
              </w:rPr>
              <w:t>Amount</w:t>
            </w:r>
          </w:p>
        </w:tc>
      </w:tr>
      <w:tr w:rsidR="009F78A7" w:rsidRPr="00F771B4" w:rsidTr="008B151F">
        <w:tc>
          <w:tcPr>
            <w:tcW w:w="5670" w:type="dxa"/>
            <w:shd w:val="clear" w:color="auto" w:fill="auto"/>
          </w:tcPr>
          <w:p w:rsidR="009F78A7" w:rsidRPr="00F771B4" w:rsidRDefault="009F78A7" w:rsidP="008B151F">
            <w:pPr>
              <w:spacing w:before="60" w:after="60"/>
              <w:ind w:right="-8"/>
              <w:rPr>
                <w:b/>
                <w:szCs w:val="21"/>
              </w:rPr>
            </w:pPr>
            <w:r w:rsidRPr="00F771B4">
              <w:rPr>
                <w:b/>
                <w:szCs w:val="21"/>
              </w:rPr>
              <w:t>[</w:t>
            </w:r>
            <w:r w:rsidRPr="00F771B4">
              <w:rPr>
                <w:b/>
                <w:i/>
                <w:szCs w:val="21"/>
              </w:rPr>
              <w:t>insert investor name</w:t>
            </w:r>
            <w:r w:rsidRPr="00F771B4">
              <w:rPr>
                <w:b/>
                <w:szCs w:val="21"/>
              </w:rPr>
              <w:t>]</w:t>
            </w:r>
          </w:p>
        </w:tc>
        <w:tc>
          <w:tcPr>
            <w:tcW w:w="3055" w:type="dxa"/>
            <w:shd w:val="clear" w:color="auto" w:fill="auto"/>
          </w:tcPr>
          <w:p w:rsidR="009F78A7" w:rsidRPr="00F771B4" w:rsidRDefault="009F78A7" w:rsidP="008B151F">
            <w:pPr>
              <w:spacing w:before="60" w:after="60"/>
              <w:ind w:right="-57"/>
              <w:jc w:val="left"/>
              <w:rPr>
                <w:szCs w:val="21"/>
              </w:rPr>
            </w:pPr>
            <w:r w:rsidRPr="00F771B4">
              <w:rPr>
                <w:szCs w:val="21"/>
              </w:rPr>
              <w:t>$</w:t>
            </w:r>
            <w:r w:rsidRPr="00F771B4">
              <w:rPr>
                <w:b/>
                <w:szCs w:val="21"/>
              </w:rPr>
              <w:t>[</w:t>
            </w:r>
            <w:r w:rsidRPr="00F771B4">
              <w:rPr>
                <w:b/>
                <w:i/>
                <w:szCs w:val="21"/>
              </w:rPr>
              <w:t>insert amount</w:t>
            </w:r>
            <w:r w:rsidRPr="00F771B4">
              <w:rPr>
                <w:b/>
                <w:szCs w:val="21"/>
              </w:rPr>
              <w:t>]</w:t>
            </w:r>
          </w:p>
        </w:tc>
      </w:tr>
      <w:tr w:rsidR="009F78A7" w:rsidRPr="00F771B4" w:rsidTr="008B151F">
        <w:tc>
          <w:tcPr>
            <w:tcW w:w="5670" w:type="dxa"/>
            <w:shd w:val="clear" w:color="auto" w:fill="auto"/>
          </w:tcPr>
          <w:p w:rsidR="009F78A7" w:rsidRPr="00F771B4" w:rsidRDefault="009F78A7" w:rsidP="008B151F">
            <w:pPr>
              <w:spacing w:before="60" w:after="60"/>
              <w:ind w:right="-8"/>
              <w:rPr>
                <w:b/>
                <w:szCs w:val="21"/>
              </w:rPr>
            </w:pPr>
            <w:r w:rsidRPr="00F771B4">
              <w:rPr>
                <w:b/>
                <w:szCs w:val="21"/>
              </w:rPr>
              <w:t>[</w:t>
            </w:r>
            <w:r w:rsidRPr="00F771B4">
              <w:rPr>
                <w:b/>
                <w:i/>
                <w:szCs w:val="21"/>
              </w:rPr>
              <w:t>insert investor name</w:t>
            </w:r>
            <w:r w:rsidRPr="00F771B4">
              <w:rPr>
                <w:b/>
                <w:szCs w:val="21"/>
              </w:rPr>
              <w:t>]</w:t>
            </w:r>
          </w:p>
        </w:tc>
        <w:tc>
          <w:tcPr>
            <w:tcW w:w="3055" w:type="dxa"/>
            <w:shd w:val="clear" w:color="auto" w:fill="auto"/>
          </w:tcPr>
          <w:p w:rsidR="009F78A7" w:rsidRPr="00F771B4" w:rsidRDefault="009F78A7" w:rsidP="008B151F">
            <w:pPr>
              <w:spacing w:before="60" w:after="60"/>
              <w:ind w:right="-57"/>
              <w:jc w:val="left"/>
              <w:rPr>
                <w:b/>
                <w:szCs w:val="21"/>
              </w:rPr>
            </w:pPr>
            <w:r w:rsidRPr="00F771B4">
              <w:rPr>
                <w:szCs w:val="21"/>
              </w:rPr>
              <w:t>$</w:t>
            </w:r>
            <w:r w:rsidRPr="00F771B4">
              <w:rPr>
                <w:b/>
                <w:szCs w:val="21"/>
              </w:rPr>
              <w:t>[</w:t>
            </w:r>
            <w:r w:rsidRPr="00F771B4">
              <w:rPr>
                <w:b/>
                <w:i/>
                <w:szCs w:val="21"/>
              </w:rPr>
              <w:t>insert amount</w:t>
            </w:r>
            <w:r w:rsidRPr="00F771B4">
              <w:rPr>
                <w:b/>
                <w:szCs w:val="21"/>
              </w:rPr>
              <w:t>]</w:t>
            </w:r>
          </w:p>
        </w:tc>
      </w:tr>
      <w:tr w:rsidR="009F78A7" w:rsidRPr="00F771B4" w:rsidTr="008B151F">
        <w:tc>
          <w:tcPr>
            <w:tcW w:w="5670" w:type="dxa"/>
            <w:shd w:val="clear" w:color="auto" w:fill="auto"/>
          </w:tcPr>
          <w:p w:rsidR="009F78A7" w:rsidRPr="00F771B4" w:rsidRDefault="009F78A7" w:rsidP="008B151F">
            <w:pPr>
              <w:spacing w:before="60" w:after="60"/>
              <w:ind w:right="-8"/>
              <w:rPr>
                <w:b/>
                <w:szCs w:val="21"/>
              </w:rPr>
            </w:pPr>
            <w:r w:rsidRPr="00F771B4">
              <w:rPr>
                <w:b/>
                <w:szCs w:val="21"/>
              </w:rPr>
              <w:t>[</w:t>
            </w:r>
            <w:r w:rsidRPr="00F771B4">
              <w:rPr>
                <w:b/>
                <w:i/>
                <w:szCs w:val="21"/>
              </w:rPr>
              <w:t>insert investor name</w:t>
            </w:r>
            <w:r w:rsidRPr="00F771B4">
              <w:rPr>
                <w:b/>
                <w:szCs w:val="21"/>
              </w:rPr>
              <w:t>]</w:t>
            </w:r>
          </w:p>
        </w:tc>
        <w:tc>
          <w:tcPr>
            <w:tcW w:w="3055" w:type="dxa"/>
            <w:shd w:val="clear" w:color="auto" w:fill="auto"/>
          </w:tcPr>
          <w:p w:rsidR="009F78A7" w:rsidRPr="00F771B4" w:rsidRDefault="009F78A7" w:rsidP="008B151F">
            <w:pPr>
              <w:spacing w:before="60" w:after="60"/>
              <w:ind w:right="-57"/>
              <w:jc w:val="left"/>
              <w:rPr>
                <w:b/>
                <w:szCs w:val="21"/>
              </w:rPr>
            </w:pPr>
            <w:r w:rsidRPr="00F771B4">
              <w:rPr>
                <w:szCs w:val="21"/>
              </w:rPr>
              <w:t>$</w:t>
            </w:r>
            <w:r w:rsidRPr="00F771B4">
              <w:rPr>
                <w:b/>
                <w:szCs w:val="21"/>
              </w:rPr>
              <w:t>[</w:t>
            </w:r>
            <w:r w:rsidRPr="00F771B4">
              <w:rPr>
                <w:b/>
                <w:i/>
                <w:szCs w:val="21"/>
              </w:rPr>
              <w:t>insert amount</w:t>
            </w:r>
            <w:r w:rsidRPr="00F771B4">
              <w:rPr>
                <w:b/>
                <w:szCs w:val="21"/>
              </w:rPr>
              <w:t>]</w:t>
            </w:r>
          </w:p>
        </w:tc>
      </w:tr>
      <w:tr w:rsidR="009F78A7" w:rsidRPr="00F771B4" w:rsidTr="008B151F">
        <w:tc>
          <w:tcPr>
            <w:tcW w:w="5670" w:type="dxa"/>
            <w:shd w:val="clear" w:color="auto" w:fill="auto"/>
          </w:tcPr>
          <w:p w:rsidR="009F78A7" w:rsidRPr="00F771B4" w:rsidRDefault="009F78A7" w:rsidP="008B151F">
            <w:pPr>
              <w:spacing w:before="60" w:after="60"/>
              <w:ind w:right="-8"/>
              <w:rPr>
                <w:b/>
                <w:szCs w:val="21"/>
              </w:rPr>
            </w:pPr>
            <w:r w:rsidRPr="00F771B4">
              <w:rPr>
                <w:b/>
                <w:szCs w:val="21"/>
              </w:rPr>
              <w:t>[</w:t>
            </w:r>
            <w:r w:rsidRPr="00F771B4">
              <w:rPr>
                <w:b/>
                <w:i/>
                <w:szCs w:val="21"/>
              </w:rPr>
              <w:t>insert investor name</w:t>
            </w:r>
            <w:r w:rsidRPr="00F771B4">
              <w:rPr>
                <w:b/>
                <w:szCs w:val="21"/>
              </w:rPr>
              <w:t>]</w:t>
            </w:r>
          </w:p>
        </w:tc>
        <w:tc>
          <w:tcPr>
            <w:tcW w:w="3055" w:type="dxa"/>
            <w:shd w:val="clear" w:color="auto" w:fill="auto"/>
          </w:tcPr>
          <w:p w:rsidR="009F78A7" w:rsidRPr="00F771B4" w:rsidRDefault="009F78A7" w:rsidP="008B151F">
            <w:pPr>
              <w:spacing w:before="60" w:after="60"/>
              <w:ind w:right="-57"/>
              <w:jc w:val="left"/>
              <w:rPr>
                <w:b/>
                <w:szCs w:val="21"/>
              </w:rPr>
            </w:pPr>
            <w:r w:rsidRPr="00F771B4">
              <w:rPr>
                <w:szCs w:val="21"/>
              </w:rPr>
              <w:t>$</w:t>
            </w:r>
            <w:r w:rsidRPr="00F771B4">
              <w:rPr>
                <w:b/>
                <w:szCs w:val="21"/>
              </w:rPr>
              <w:t>[</w:t>
            </w:r>
            <w:r w:rsidRPr="00F771B4">
              <w:rPr>
                <w:b/>
                <w:i/>
                <w:szCs w:val="21"/>
              </w:rPr>
              <w:t>insert amount</w:t>
            </w:r>
            <w:r w:rsidRPr="00F771B4">
              <w:rPr>
                <w:b/>
                <w:szCs w:val="21"/>
              </w:rPr>
              <w:t>]</w:t>
            </w:r>
          </w:p>
        </w:tc>
      </w:tr>
      <w:tr w:rsidR="009F78A7" w:rsidRPr="00F771B4" w:rsidTr="008B151F">
        <w:tc>
          <w:tcPr>
            <w:tcW w:w="5670" w:type="dxa"/>
            <w:shd w:val="clear" w:color="auto" w:fill="auto"/>
          </w:tcPr>
          <w:p w:rsidR="009F78A7" w:rsidRPr="00F771B4" w:rsidRDefault="009F78A7" w:rsidP="008B151F">
            <w:pPr>
              <w:spacing w:before="60" w:after="60"/>
              <w:rPr>
                <w:b/>
                <w:szCs w:val="21"/>
              </w:rPr>
            </w:pPr>
            <w:r w:rsidRPr="00F771B4">
              <w:rPr>
                <w:b/>
                <w:szCs w:val="21"/>
              </w:rPr>
              <w:t>[</w:t>
            </w:r>
            <w:r w:rsidRPr="00F771B4">
              <w:rPr>
                <w:b/>
                <w:i/>
                <w:szCs w:val="21"/>
              </w:rPr>
              <w:t>insert investor name</w:t>
            </w:r>
            <w:r w:rsidRPr="00F771B4">
              <w:rPr>
                <w:b/>
                <w:szCs w:val="21"/>
              </w:rPr>
              <w:t>]</w:t>
            </w:r>
          </w:p>
        </w:tc>
        <w:tc>
          <w:tcPr>
            <w:tcW w:w="3055" w:type="dxa"/>
            <w:shd w:val="clear" w:color="auto" w:fill="auto"/>
          </w:tcPr>
          <w:p w:rsidR="009F78A7" w:rsidRPr="00F771B4" w:rsidRDefault="009F78A7" w:rsidP="008B151F">
            <w:pPr>
              <w:spacing w:before="60" w:after="60"/>
              <w:ind w:right="-57"/>
              <w:jc w:val="left"/>
              <w:rPr>
                <w:b/>
                <w:szCs w:val="21"/>
              </w:rPr>
            </w:pPr>
            <w:r w:rsidRPr="00F771B4">
              <w:rPr>
                <w:szCs w:val="21"/>
              </w:rPr>
              <w:t>$</w:t>
            </w:r>
            <w:r w:rsidRPr="00F771B4">
              <w:rPr>
                <w:b/>
                <w:szCs w:val="21"/>
              </w:rPr>
              <w:t>[</w:t>
            </w:r>
            <w:r w:rsidRPr="00F771B4">
              <w:rPr>
                <w:b/>
                <w:i/>
                <w:szCs w:val="21"/>
              </w:rPr>
              <w:t>insert amount</w:t>
            </w:r>
            <w:r w:rsidRPr="00F771B4">
              <w:rPr>
                <w:b/>
                <w:szCs w:val="21"/>
              </w:rPr>
              <w:t>]</w:t>
            </w:r>
          </w:p>
        </w:tc>
      </w:tr>
    </w:tbl>
    <w:p w:rsidR="00863E8D" w:rsidRPr="00F771B4" w:rsidRDefault="00863E8D">
      <w:pPr>
        <w:spacing w:after="200" w:line="276" w:lineRule="auto"/>
        <w:jc w:val="left"/>
        <w:sectPr w:rsidR="00863E8D" w:rsidRPr="00F771B4" w:rsidSect="00716263">
          <w:pgSz w:w="11907" w:h="16840" w:code="9"/>
          <w:pgMar w:top="1247" w:right="1474" w:bottom="1440" w:left="1701" w:header="720" w:footer="505" w:gutter="0"/>
          <w:paperSrc w:first="265" w:other="265"/>
          <w:cols w:space="720"/>
          <w:titlePg/>
          <w:docGrid w:linePitch="286"/>
        </w:sectPr>
      </w:pPr>
    </w:p>
    <w:p w:rsidR="00863E8D" w:rsidRPr="00F771B4" w:rsidRDefault="00863E8D" w:rsidP="00863E8D">
      <w:pPr>
        <w:ind w:right="75"/>
        <w:jc w:val="center"/>
        <w:rPr>
          <w:b/>
        </w:rPr>
      </w:pPr>
      <w:r w:rsidRPr="00F771B4">
        <w:rPr>
          <w:b/>
        </w:rPr>
        <w:t>APPENDIX 2</w:t>
      </w:r>
    </w:p>
    <w:p w:rsidR="00863E8D" w:rsidRPr="00F771B4" w:rsidRDefault="00F735E2" w:rsidP="00863E8D">
      <w:pPr>
        <w:ind w:right="29"/>
        <w:jc w:val="center"/>
        <w:rPr>
          <w:b/>
        </w:rPr>
      </w:pPr>
      <w:r>
        <w:rPr>
          <w:b/>
        </w:rPr>
        <w:t xml:space="preserve">Current </w:t>
      </w:r>
      <w:r w:rsidR="00863E8D" w:rsidRPr="00F771B4">
        <w:rPr>
          <w:b/>
        </w:rPr>
        <w:t>Capitalisation Table</w:t>
      </w:r>
    </w:p>
    <w:sectPr w:rsidR="00863E8D" w:rsidRPr="00F771B4" w:rsidSect="003730B0">
      <w:headerReference w:type="even" r:id="rId17"/>
      <w:headerReference w:type="default" r:id="rId18"/>
      <w:footerReference w:type="even" r:id="rId19"/>
      <w:footerReference w:type="default" r:id="rId20"/>
      <w:headerReference w:type="first" r:id="rId21"/>
      <w:footerReference w:type="first" r:id="rId22"/>
      <w:pgSz w:w="11906" w:h="16838" w:code="9"/>
      <w:pgMar w:top="1440" w:right="1701" w:bottom="1440" w:left="1701" w:header="709" w:footer="454"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E2" w:rsidRDefault="006737E2" w:rsidP="00766DEA">
      <w:r>
        <w:separator/>
      </w:r>
    </w:p>
  </w:endnote>
  <w:endnote w:type="continuationSeparator" w:id="0">
    <w:p w:rsidR="006737E2" w:rsidRDefault="006737E2" w:rsidP="007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A4" w:rsidRDefault="00BB4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A4" w:rsidRDefault="00BB4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97" w:rsidRPr="00497570" w:rsidRDefault="00540297" w:rsidP="0022229C">
    <w:pPr>
      <w:tabs>
        <w:tab w:val="left" w:pos="1076"/>
      </w:tabs>
      <w:spacing w:before="60"/>
      <w:rPr>
        <w:sz w:val="15"/>
        <w:szCs w:val="15"/>
      </w:rPr>
    </w:pPr>
    <w:r w:rsidRPr="00497570">
      <w:rPr>
        <w:sz w:val="15"/>
        <w:szCs w:val="15"/>
      </w:rPr>
      <w:fldChar w:fldCharType="begin"/>
    </w:r>
    <w:r w:rsidRPr="00497570">
      <w:rPr>
        <w:sz w:val="15"/>
        <w:szCs w:val="15"/>
      </w:rPr>
      <w:instrText xml:space="preserve"> FILENAME   \* MERGEFORMAT </w:instrText>
    </w:r>
    <w:r w:rsidRPr="00497570">
      <w:rPr>
        <w:sz w:val="15"/>
        <w:szCs w:val="15"/>
      </w:rPr>
      <w:fldChar w:fldCharType="separate"/>
    </w:r>
    <w:r w:rsidR="00BB43A4">
      <w:rPr>
        <w:noProof/>
        <w:sz w:val="15"/>
        <w:szCs w:val="15"/>
      </w:rPr>
      <w:t>218011 - AANZ Template Term Sheet (equity investment) [Version 1 - 4 February 2019]</w:t>
    </w:r>
    <w:r w:rsidRPr="00497570">
      <w:rPr>
        <w:sz w:val="15"/>
        <w:szCs w:val="15"/>
      </w:rPr>
      <w:fldChar w:fldCharType="end"/>
    </w:r>
    <w:r w:rsidRPr="00497570">
      <w:rPr>
        <w:sz w:val="15"/>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97" w:rsidRDefault="005402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97" w:rsidRPr="000239D0" w:rsidRDefault="00540297" w:rsidP="000239D0">
    <w:pPr>
      <w:pStyle w:val="Footer"/>
      <w:pBdr>
        <w:bottom w:val="single" w:sz="4" w:space="1" w:color="auto"/>
      </w:pBdr>
      <w:spacing w:before="60"/>
      <w:jc w:val="right"/>
      <w:rPr>
        <w:sz w:val="15"/>
        <w:szCs w:val="15"/>
      </w:rPr>
    </w:pPr>
    <w:r w:rsidRPr="000239D0">
      <w:rPr>
        <w:sz w:val="15"/>
        <w:szCs w:val="15"/>
      </w:rPr>
      <w:t xml:space="preserve">Page </w:t>
    </w:r>
    <w:r w:rsidRPr="000239D0">
      <w:rPr>
        <w:sz w:val="15"/>
        <w:szCs w:val="15"/>
      </w:rPr>
      <w:fldChar w:fldCharType="begin"/>
    </w:r>
    <w:r w:rsidRPr="000239D0">
      <w:rPr>
        <w:sz w:val="15"/>
        <w:szCs w:val="15"/>
      </w:rPr>
      <w:instrText xml:space="preserve"> PAGE   \* MERGEFORMAT </w:instrText>
    </w:r>
    <w:r w:rsidRPr="000239D0">
      <w:rPr>
        <w:sz w:val="15"/>
        <w:szCs w:val="15"/>
      </w:rPr>
      <w:fldChar w:fldCharType="separate"/>
    </w:r>
    <w:r>
      <w:rPr>
        <w:noProof/>
        <w:sz w:val="15"/>
        <w:szCs w:val="15"/>
      </w:rPr>
      <w:t>3</w:t>
    </w:r>
    <w:r w:rsidRPr="000239D0">
      <w:rPr>
        <w:sz w:val="15"/>
        <w:szCs w:val="15"/>
      </w:rPr>
      <w:fldChar w:fldCharType="end"/>
    </w:r>
  </w:p>
  <w:p w:rsidR="00540297" w:rsidRPr="00413FA6" w:rsidRDefault="00540297" w:rsidP="00CF1D59">
    <w:pPr>
      <w:pStyle w:val="Footer"/>
      <w:spacing w:before="60"/>
      <w:rPr>
        <w:sz w:val="15"/>
        <w:szCs w:val="15"/>
      </w:rPr>
    </w:pPr>
    <w:r w:rsidRPr="00413FA6">
      <w:rPr>
        <w:noProof/>
        <w:sz w:val="15"/>
        <w:szCs w:val="15"/>
      </w:rPr>
      <w:fldChar w:fldCharType="begin"/>
    </w:r>
    <w:r w:rsidRPr="00413FA6">
      <w:rPr>
        <w:noProof/>
        <w:sz w:val="15"/>
        <w:szCs w:val="15"/>
      </w:rPr>
      <w:instrText xml:space="preserve"> FILENAME   \* MERGEFORMAT </w:instrText>
    </w:r>
    <w:r w:rsidRPr="00413FA6">
      <w:rPr>
        <w:noProof/>
        <w:sz w:val="15"/>
        <w:szCs w:val="15"/>
      </w:rPr>
      <w:fldChar w:fldCharType="separate"/>
    </w:r>
    <w:r>
      <w:rPr>
        <w:noProof/>
        <w:sz w:val="15"/>
        <w:szCs w:val="15"/>
      </w:rPr>
      <w:t xml:space="preserve">207203 - AANZ Template Term Sheet (Equity Investments) </w:t>
    </w:r>
    <w:r w:rsidRPr="006B566A">
      <w:rPr>
        <w:b/>
        <w:noProof/>
        <w:sz w:val="15"/>
        <w:szCs w:val="15"/>
      </w:rPr>
      <w:t>[</w:t>
    </w:r>
    <w:r>
      <w:rPr>
        <w:noProof/>
        <w:sz w:val="15"/>
        <w:szCs w:val="15"/>
      </w:rPr>
      <w:t>Version 1 -</w:t>
    </w:r>
    <w:r w:rsidRPr="006B566A">
      <w:rPr>
        <w:b/>
        <w:noProof/>
        <w:sz w:val="15"/>
        <w:szCs w:val="15"/>
      </w:rPr>
      <w:t xml:space="preserve"> </w:t>
    </w:r>
    <w:r>
      <w:rPr>
        <w:noProof/>
        <w:sz w:val="15"/>
        <w:szCs w:val="15"/>
      </w:rPr>
      <w:t>14 November 2018]</w:t>
    </w:r>
    <w:r w:rsidRPr="00413FA6">
      <w:rPr>
        <w:noProof/>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97" w:rsidRPr="00102330" w:rsidRDefault="00540297" w:rsidP="00102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E2" w:rsidRDefault="006737E2" w:rsidP="00766DEA">
      <w:r>
        <w:separator/>
      </w:r>
    </w:p>
  </w:footnote>
  <w:footnote w:type="continuationSeparator" w:id="0">
    <w:p w:rsidR="006737E2" w:rsidRDefault="006737E2" w:rsidP="00766DEA">
      <w:r>
        <w:continuationSeparator/>
      </w:r>
    </w:p>
  </w:footnote>
  <w:footnote w:id="1">
    <w:p w:rsidR="00540297" w:rsidRDefault="00540297" w:rsidP="0056606F">
      <w:pPr>
        <w:pStyle w:val="FootnoteText"/>
        <w:ind w:left="284" w:hanging="284"/>
      </w:pPr>
      <w:r>
        <w:rPr>
          <w:rStyle w:val="FootnoteReference"/>
        </w:rPr>
        <w:footnoteRef/>
      </w:r>
      <w:r>
        <w:t xml:space="preserve"> </w:t>
      </w:r>
      <w:r>
        <w:tab/>
      </w:r>
      <w:r w:rsidRPr="0056606F">
        <w:rPr>
          <w:b/>
          <w:u w:val="single"/>
        </w:rPr>
        <w:t>Fixed round</w:t>
      </w:r>
      <w:r w:rsidRPr="0056606F">
        <w:t>: Sometimes a round will be for a fixed amount, in which case the “Minimum” and “Maximum” rows can be deleted.</w:t>
      </w:r>
    </w:p>
    <w:p w:rsidR="00B67523" w:rsidRDefault="00B67523" w:rsidP="0056606F">
      <w:pPr>
        <w:pStyle w:val="FootnoteText"/>
        <w:ind w:left="284" w:hanging="284"/>
      </w:pPr>
    </w:p>
  </w:footnote>
  <w:footnote w:id="2">
    <w:p w:rsidR="00540297" w:rsidRDefault="00540297" w:rsidP="0056606F">
      <w:pPr>
        <w:pStyle w:val="FootnoteText"/>
        <w:ind w:left="284" w:hanging="284"/>
      </w:pPr>
      <w:r>
        <w:rPr>
          <w:rStyle w:val="FootnoteReference"/>
        </w:rPr>
        <w:footnoteRef/>
      </w:r>
      <w:r>
        <w:t xml:space="preserve"> </w:t>
      </w:r>
      <w:r>
        <w:tab/>
      </w:r>
      <w:r w:rsidRPr="0056606F">
        <w:rPr>
          <w:b/>
          <w:u w:val="single"/>
        </w:rPr>
        <w:t>Minimum and Maximum</w:t>
      </w:r>
      <w:r w:rsidRPr="0056606F">
        <w:t xml:space="preserve">: Sometimes a term sheet will be used to confirm investment commitments without knowing the </w:t>
      </w:r>
      <w:r w:rsidR="00B67523">
        <w:t xml:space="preserve">exact </w:t>
      </w:r>
      <w:r w:rsidRPr="0056606F">
        <w:t xml:space="preserve">final round size. In this case, the parties might agree a minimum and/or maximum round size parameters. In this case the “fixed round” </w:t>
      </w:r>
      <w:r>
        <w:t>section</w:t>
      </w:r>
      <w:r w:rsidRPr="0056606F">
        <w:t xml:space="preserve"> can be deleted.</w:t>
      </w:r>
    </w:p>
    <w:p w:rsidR="00B67523" w:rsidRPr="0056606F" w:rsidRDefault="00B67523" w:rsidP="0056606F">
      <w:pPr>
        <w:pStyle w:val="FootnoteText"/>
        <w:ind w:left="284" w:hanging="284"/>
      </w:pPr>
    </w:p>
  </w:footnote>
  <w:footnote w:id="3">
    <w:p w:rsidR="00540297" w:rsidRDefault="00540297" w:rsidP="0056606F">
      <w:pPr>
        <w:pStyle w:val="FootnoteText"/>
        <w:ind w:left="284" w:hanging="284"/>
      </w:pPr>
      <w:r>
        <w:rPr>
          <w:rStyle w:val="FootnoteReference"/>
        </w:rPr>
        <w:footnoteRef/>
      </w:r>
      <w:r>
        <w:t xml:space="preserve"> </w:t>
      </w:r>
      <w:r>
        <w:tab/>
      </w:r>
      <w:r w:rsidRPr="0056606F">
        <w:rPr>
          <w:b/>
          <w:u w:val="single"/>
        </w:rPr>
        <w:t>Rolling Close</w:t>
      </w:r>
      <w:r w:rsidRPr="0056606F">
        <w:t xml:space="preserve">: Sometimes a company and investors may wish to document and complete investments from initial investors, while leaving it open for </w:t>
      </w:r>
      <w:r>
        <w:t xml:space="preserve">the </w:t>
      </w:r>
      <w:r w:rsidRPr="0056606F">
        <w:t xml:space="preserve">company to raise </w:t>
      </w:r>
      <w:r>
        <w:t>further</w:t>
      </w:r>
      <w:r w:rsidRPr="0056606F">
        <w:t xml:space="preserve"> invest</w:t>
      </w:r>
      <w:r>
        <w:t>ment</w:t>
      </w:r>
      <w:r w:rsidRPr="0056606F">
        <w:t xml:space="preserve"> from subsequent investors on the same terms for a fixed period of time</w:t>
      </w:r>
      <w:r>
        <w:t xml:space="preserve"> and</w:t>
      </w:r>
      <w:r w:rsidRPr="0056606F">
        <w:t xml:space="preserve"> up to a maximum round size.</w:t>
      </w:r>
      <w:r>
        <w:t xml:space="preserve"> This is called a “rolling close”. </w:t>
      </w:r>
      <w:r w:rsidRPr="0056606F">
        <w:t xml:space="preserve"> </w:t>
      </w:r>
      <w:r>
        <w:t>If a “rolling close” is not a feature of the investment round, this section can be deleted</w:t>
      </w:r>
      <w:r w:rsidRPr="0056606F">
        <w:t>.</w:t>
      </w:r>
    </w:p>
    <w:p w:rsidR="00B67523" w:rsidRPr="0056606F" w:rsidRDefault="00B67523" w:rsidP="0056606F">
      <w:pPr>
        <w:pStyle w:val="FootnoteText"/>
        <w:ind w:left="284" w:hanging="284"/>
      </w:pPr>
    </w:p>
  </w:footnote>
  <w:footnote w:id="4">
    <w:p w:rsidR="00540297" w:rsidRDefault="00540297" w:rsidP="007508E1">
      <w:pPr>
        <w:pStyle w:val="FootnoteText"/>
        <w:ind w:left="284" w:hanging="284"/>
      </w:pPr>
      <w:r>
        <w:rPr>
          <w:rStyle w:val="FootnoteReference"/>
        </w:rPr>
        <w:footnoteRef/>
      </w:r>
      <w:r w:rsidRPr="003342A7">
        <w:rPr>
          <w:rStyle w:val="FootnoteReference"/>
        </w:rPr>
        <w:t xml:space="preserve"> </w:t>
      </w:r>
      <w:r>
        <w:tab/>
      </w:r>
      <w:r w:rsidRPr="003342A7">
        <w:rPr>
          <w:b/>
          <w:u w:val="single"/>
        </w:rPr>
        <w:t>Excluding/Including</w:t>
      </w:r>
      <w:r>
        <w:t xml:space="preserve">: </w:t>
      </w:r>
      <w:r w:rsidR="00B67523" w:rsidRPr="00B67523">
        <w:t xml:space="preserve">Typically the parties would agree to </w:t>
      </w:r>
      <w:r w:rsidR="00B67523" w:rsidRPr="00B67523">
        <w:rPr>
          <w:u w:val="single"/>
        </w:rPr>
        <w:t>include</w:t>
      </w:r>
      <w:r w:rsidR="00B67523" w:rsidRPr="00B67523">
        <w:t xml:space="preserve"> a company’s </w:t>
      </w:r>
      <w:r w:rsidR="00B67523" w:rsidRPr="00F771B4">
        <w:t>allocation for the Share Scheme</w:t>
      </w:r>
      <w:r w:rsidR="00B67523" w:rsidRPr="00B67523">
        <w:t xml:space="preserve"> for the purpose of calculating the fully diluted issue price</w:t>
      </w:r>
      <w:r w:rsidR="00B67523">
        <w:t>. This</w:t>
      </w:r>
      <w:r w:rsidR="00B67523" w:rsidRPr="00B67523">
        <w:t xml:space="preserve"> </w:t>
      </w:r>
      <w:r w:rsidR="00B67523">
        <w:t xml:space="preserve">spreads the dilutive effect of the </w:t>
      </w:r>
      <w:r w:rsidR="00B67523" w:rsidRPr="00F771B4">
        <w:t>Share Scheme</w:t>
      </w:r>
      <w:r w:rsidR="00B67523">
        <w:t xml:space="preserve"> allocation over existing shareholders and results in a </w:t>
      </w:r>
      <w:r w:rsidR="00BB43A4">
        <w:t>marginally lower Issue P</w:t>
      </w:r>
      <w:r w:rsidR="00B67523">
        <w:t>rice</w:t>
      </w:r>
      <w:r w:rsidR="0049445C">
        <w:t xml:space="preserve"> than excluding allocations for Share Schemes</w:t>
      </w:r>
      <w:r w:rsidR="00B67523" w:rsidRPr="00B67523">
        <w:t xml:space="preserve">. However, </w:t>
      </w:r>
      <w:r w:rsidR="00B67523">
        <w:t xml:space="preserve">occasionally </w:t>
      </w:r>
      <w:r w:rsidR="00B67523" w:rsidRPr="00B67523">
        <w:t>the parties may agree to</w:t>
      </w:r>
      <w:r w:rsidR="00BB43A4">
        <w:t>: (a)</w:t>
      </w:r>
      <w:r w:rsidR="00B67523" w:rsidRPr="00B67523">
        <w:t xml:space="preserve"> </w:t>
      </w:r>
      <w:r w:rsidR="00B67523" w:rsidRPr="00B67523">
        <w:rPr>
          <w:u w:val="single"/>
        </w:rPr>
        <w:t>exclude</w:t>
      </w:r>
      <w:r w:rsidR="00B67523" w:rsidRPr="00B67523">
        <w:t xml:space="preserve"> the company’s </w:t>
      </w:r>
      <w:r w:rsidR="00B67523" w:rsidRPr="00F771B4">
        <w:t xml:space="preserve">allocation for the Share </w:t>
      </w:r>
      <w:r w:rsidR="00B67523">
        <w:t xml:space="preserve">Scheme. This spreads the dilutive effect of the </w:t>
      </w:r>
      <w:r w:rsidR="00B67523" w:rsidRPr="00F771B4">
        <w:t>Share Scheme</w:t>
      </w:r>
      <w:r w:rsidR="00B67523" w:rsidRPr="00B67523">
        <w:t xml:space="preserve"> </w:t>
      </w:r>
      <w:r w:rsidR="00B67523">
        <w:t xml:space="preserve">allocation over both existing shareholders and investors and results in a relatively higher </w:t>
      </w:r>
      <w:r w:rsidR="00BB43A4">
        <w:t>I</w:t>
      </w:r>
      <w:r w:rsidR="00B67523">
        <w:t xml:space="preserve">ssue </w:t>
      </w:r>
      <w:r w:rsidR="00BB43A4">
        <w:t>P</w:t>
      </w:r>
      <w:r w:rsidR="00B67523">
        <w:t>rice</w:t>
      </w:r>
      <w:r w:rsidR="00BB43A4">
        <w:t>; or (b) do a mix so that only allocated options are considered in calculating the Issue Price</w:t>
      </w:r>
      <w:r w:rsidR="00B67523" w:rsidRPr="00B67523">
        <w:t>.</w:t>
      </w:r>
      <w:r w:rsidR="00BB43A4">
        <w:t xml:space="preserve"> </w:t>
      </w:r>
      <w:r w:rsidR="0049445C">
        <w:t xml:space="preserve">Whether the parties vary away from the most typical arrangement </w:t>
      </w:r>
      <w:r w:rsidR="00BB43A4">
        <w:t>will depend on the negotiating power of the parties and the context of the investment.</w:t>
      </w:r>
      <w:r>
        <w:t xml:space="preserve"> </w:t>
      </w:r>
    </w:p>
    <w:p w:rsidR="00B67523" w:rsidRPr="007508E1" w:rsidRDefault="00B67523" w:rsidP="007508E1">
      <w:pPr>
        <w:pStyle w:val="FootnoteText"/>
        <w:ind w:left="284" w:hanging="284"/>
      </w:pPr>
    </w:p>
  </w:footnote>
  <w:footnote w:id="5">
    <w:p w:rsidR="00B67523" w:rsidRDefault="00540297" w:rsidP="002B028C">
      <w:pPr>
        <w:pStyle w:val="FootnoteText"/>
        <w:ind w:left="284" w:hanging="284"/>
      </w:pPr>
      <w:r>
        <w:rPr>
          <w:rStyle w:val="FootnoteReference"/>
        </w:rPr>
        <w:footnoteRef/>
      </w:r>
      <w:r>
        <w:t xml:space="preserve"> </w:t>
      </w:r>
      <w:r>
        <w:tab/>
      </w:r>
      <w:r w:rsidRPr="002B028C">
        <w:rPr>
          <w:b/>
          <w:u w:val="single"/>
        </w:rPr>
        <w:t>Preference Shares</w:t>
      </w:r>
      <w:r>
        <w:t xml:space="preserve">: There are a variety of different preference share rights that may be negotiated. Different contexts may allow for different rights. If preference shares are agreed, 1x non-participating preference shares are most common for early stage investments in the NZ context and this is what the AANZ constitution template for preference shares is based on. Parties should take advice on the consequences of electing preference shares, and on the rights to be agreed. </w:t>
      </w:r>
    </w:p>
    <w:p w:rsidR="00540297" w:rsidRDefault="00540297" w:rsidP="002B028C">
      <w:pPr>
        <w:pStyle w:val="FootnoteText"/>
        <w:ind w:left="284" w:hanging="284"/>
      </w:pPr>
      <w:r>
        <w:t xml:space="preserve"> </w:t>
      </w:r>
    </w:p>
  </w:footnote>
  <w:footnote w:id="6">
    <w:p w:rsidR="00540297" w:rsidRDefault="00540297" w:rsidP="007D3A2E">
      <w:pPr>
        <w:pStyle w:val="FootnoteText"/>
        <w:ind w:left="284" w:hanging="284"/>
      </w:pPr>
      <w:r>
        <w:rPr>
          <w:rStyle w:val="FootnoteReference"/>
        </w:rPr>
        <w:footnoteRef/>
      </w:r>
      <w:r w:rsidRPr="007D3A2E">
        <w:rPr>
          <w:rStyle w:val="FootnoteReference"/>
        </w:rPr>
        <w:t xml:space="preserve"> </w:t>
      </w:r>
      <w:r>
        <w:tab/>
      </w:r>
      <w:r w:rsidRPr="007D3A2E">
        <w:rPr>
          <w:b/>
          <w:u w:val="single"/>
        </w:rPr>
        <w:t>Capitalisation Table</w:t>
      </w:r>
      <w:r>
        <w:t xml:space="preserve">: If there is a Share Scheme in place, the Capitalisation Table should also show how much of the Share Scheme has been allocate and/or converted into shares (if the allocation was first granted as an option or other instrument convertible into shares). It is also useful for the Capitalisation Table to model the current investment round. </w:t>
      </w:r>
    </w:p>
    <w:p w:rsidR="00B67523" w:rsidRDefault="00B67523" w:rsidP="007D3A2E">
      <w:pPr>
        <w:pStyle w:val="FootnoteText"/>
        <w:ind w:left="284" w:hanging="284"/>
      </w:pPr>
    </w:p>
  </w:footnote>
  <w:footnote w:id="7">
    <w:p w:rsidR="00540297" w:rsidRPr="001406BD" w:rsidRDefault="00540297" w:rsidP="001406BD">
      <w:pPr>
        <w:pStyle w:val="FootnoteText"/>
        <w:ind w:left="284" w:hanging="284"/>
        <w:rPr>
          <w:b/>
        </w:rPr>
      </w:pPr>
      <w:r>
        <w:rPr>
          <w:rStyle w:val="FootnoteReference"/>
        </w:rPr>
        <w:footnoteRef/>
      </w:r>
      <w:r>
        <w:t xml:space="preserve"> </w:t>
      </w:r>
      <w:r>
        <w:tab/>
      </w:r>
      <w:r w:rsidRPr="00897328">
        <w:rPr>
          <w:b/>
          <w:u w:val="single"/>
        </w:rPr>
        <w:t>Conditions</w:t>
      </w:r>
      <w:r w:rsidRPr="001406BD">
        <w:t xml:space="preserve">: </w:t>
      </w:r>
      <w:r>
        <w:t xml:space="preserve">The parties should consider what conditions are necessary. A list of some common suggestions for the investor’s benefit has been included to assist. It is unlikely all suggestions will be appropriate to your investment arrangement. Please amend as appropriate.  </w:t>
      </w:r>
    </w:p>
  </w:footnote>
  <w:footnote w:id="8">
    <w:p w:rsidR="00540297" w:rsidRDefault="00540297" w:rsidP="00263972">
      <w:pPr>
        <w:pStyle w:val="FootnoteText"/>
        <w:ind w:left="284" w:hanging="284"/>
      </w:pPr>
      <w:r>
        <w:rPr>
          <w:rStyle w:val="FootnoteReference"/>
        </w:rPr>
        <w:footnoteRef/>
      </w:r>
      <w:r>
        <w:t xml:space="preserve"> </w:t>
      </w:r>
      <w:r>
        <w:tab/>
      </w:r>
      <w:proofErr w:type="spellStart"/>
      <w:r w:rsidRPr="00417054">
        <w:rPr>
          <w:b/>
          <w:u w:val="single"/>
        </w:rPr>
        <w:t>Tranched</w:t>
      </w:r>
      <w:proofErr w:type="spellEnd"/>
      <w:r w:rsidRPr="00417054">
        <w:rPr>
          <w:b/>
          <w:u w:val="single"/>
        </w:rPr>
        <w:t xml:space="preserve"> Investment</w:t>
      </w:r>
      <w:r>
        <w:t xml:space="preserve">: If </w:t>
      </w:r>
      <w:proofErr w:type="spellStart"/>
      <w:r>
        <w:t>tranching</w:t>
      </w:r>
      <w:proofErr w:type="spellEnd"/>
      <w:r>
        <w:t xml:space="preserve"> is not relevant, this section can be deleted. </w:t>
      </w:r>
      <w:r w:rsidR="00B67523">
        <w:t>Occasionally</w:t>
      </w:r>
      <w:r>
        <w:t xml:space="preserve"> parties may agree to stagger an investment, with each tranche subject to an agreed Milestone being met. If the Company does not meet a Milestone, the associated shares are not issued, and the associated investment amount is not paid. </w:t>
      </w:r>
      <w:proofErr w:type="spellStart"/>
      <w:r>
        <w:t>Tranching</w:t>
      </w:r>
      <w:proofErr w:type="spellEnd"/>
      <w:r>
        <w:t xml:space="preserve"> is not common unless there are sound reasons to agree </w:t>
      </w:r>
      <w:proofErr w:type="spellStart"/>
      <w:r>
        <w:t>tranching</w:t>
      </w:r>
      <w:proofErr w:type="spellEnd"/>
      <w:r>
        <w:t xml:space="preserve"> in the context of the investment. Care needs to be taken when agreeing Milestones. Milestones should be relevant to the Company’s planned growth path. There is a risk a milestone creates a warped incentive to pursue a milestone that is no longer in the best interests of the company</w:t>
      </w:r>
      <w:r w:rsidR="0049445C">
        <w:t xml:space="preserve"> (</w:t>
      </w:r>
      <w:r>
        <w:t>taking the focus away from more important commercial objectives</w:t>
      </w:r>
      <w:r w:rsidR="0049445C">
        <w:t>)</w:t>
      </w:r>
      <w:r>
        <w:t xml:space="preserve">. </w:t>
      </w:r>
    </w:p>
    <w:p w:rsidR="00B67523" w:rsidRDefault="00B67523" w:rsidP="00263972">
      <w:pPr>
        <w:pStyle w:val="FootnoteText"/>
        <w:ind w:left="284" w:hanging="284"/>
      </w:pPr>
    </w:p>
  </w:footnote>
  <w:footnote w:id="9">
    <w:p w:rsidR="00540297" w:rsidRDefault="00540297" w:rsidP="007508E1">
      <w:pPr>
        <w:pStyle w:val="FootnoteText"/>
        <w:ind w:left="284" w:hanging="284"/>
      </w:pPr>
      <w:r>
        <w:rPr>
          <w:rStyle w:val="FootnoteReference"/>
        </w:rPr>
        <w:footnoteRef/>
      </w:r>
      <w:r w:rsidRPr="00114C61">
        <w:rPr>
          <w:rStyle w:val="FootnoteReference"/>
        </w:rPr>
        <w:t xml:space="preserve"> </w:t>
      </w:r>
      <w:r>
        <w:tab/>
      </w:r>
      <w:r w:rsidRPr="00114C61">
        <w:rPr>
          <w:b/>
          <w:u w:val="single"/>
        </w:rPr>
        <w:t>Milestone</w:t>
      </w:r>
      <w:r>
        <w:rPr>
          <w:b/>
          <w:u w:val="single"/>
        </w:rPr>
        <w:t>s</w:t>
      </w:r>
      <w:r>
        <w:t>: The 1</w:t>
      </w:r>
      <w:r w:rsidRPr="00114C61">
        <w:rPr>
          <w:vertAlign w:val="superscript"/>
        </w:rPr>
        <w:t>st</w:t>
      </w:r>
      <w:r>
        <w:t xml:space="preserve"> tranche would be payable on Completion, conditional on agreed completion conditions. Subsequent tranche milestones should be listed below.</w:t>
      </w:r>
    </w:p>
    <w:p w:rsidR="00B67523" w:rsidRDefault="00B67523" w:rsidP="007508E1">
      <w:pPr>
        <w:pStyle w:val="FootnoteText"/>
        <w:ind w:left="284" w:hanging="284"/>
      </w:pPr>
    </w:p>
  </w:footnote>
  <w:footnote w:id="10">
    <w:p w:rsidR="00540297" w:rsidRDefault="00540297" w:rsidP="007508E1">
      <w:pPr>
        <w:pStyle w:val="FootnoteText"/>
        <w:ind w:left="284" w:hanging="284"/>
      </w:pPr>
      <w:r>
        <w:rPr>
          <w:rStyle w:val="FootnoteReference"/>
        </w:rPr>
        <w:footnoteRef/>
      </w:r>
      <w:r>
        <w:t xml:space="preserve"> </w:t>
      </w:r>
      <w:r>
        <w:tab/>
      </w:r>
      <w:r w:rsidRPr="00417054">
        <w:rPr>
          <w:b/>
          <w:u w:val="single"/>
        </w:rPr>
        <w:t>Milestone Date</w:t>
      </w:r>
      <w:r w:rsidRPr="00417054">
        <w:t>:</w:t>
      </w:r>
      <w:r>
        <w:t xml:space="preserve"> This is the last date on which a milestone may be met to trigger a milestone payment and the issue of related shares.</w:t>
      </w:r>
    </w:p>
    <w:p w:rsidR="00B67523" w:rsidRPr="00417054" w:rsidRDefault="00B67523" w:rsidP="007508E1">
      <w:pPr>
        <w:pStyle w:val="FootnoteText"/>
        <w:ind w:left="284" w:hanging="284"/>
      </w:pPr>
    </w:p>
  </w:footnote>
  <w:footnote w:id="11">
    <w:p w:rsidR="00540297" w:rsidRDefault="00540297" w:rsidP="008B151F">
      <w:pPr>
        <w:pStyle w:val="FootnoteText"/>
        <w:ind w:left="284" w:hanging="284"/>
      </w:pPr>
      <w:r>
        <w:rPr>
          <w:rStyle w:val="FootnoteReference"/>
        </w:rPr>
        <w:footnoteRef/>
      </w:r>
      <w:r>
        <w:t xml:space="preserve"> </w:t>
      </w:r>
      <w:r>
        <w:tab/>
      </w:r>
      <w:r w:rsidRPr="008B151F">
        <w:rPr>
          <w:b/>
          <w:u w:val="single"/>
        </w:rPr>
        <w:t>Anti-dilute</w:t>
      </w:r>
      <w:r>
        <w:t>: Anti-dilution rights are a downside protection for Investors</w:t>
      </w:r>
      <w:r w:rsidR="0049445C">
        <w:t xml:space="preserve"> if a later share issue is done at a lower price</w:t>
      </w:r>
      <w:r>
        <w:t xml:space="preserve">. The </w:t>
      </w:r>
      <w:r w:rsidR="00B67523">
        <w:t xml:space="preserve">anti-dilution </w:t>
      </w:r>
      <w:r>
        <w:t>mechanism works by requiring the Company to issue more shares to Investors if the Company carries out a future capital raising at a lower price than the issue price of this investment round. There are various types of anti-dilution provisions (including “n</w:t>
      </w:r>
      <w:r w:rsidRPr="008B151F">
        <w:t>arrow-based weighted average</w:t>
      </w:r>
      <w:r>
        <w:t xml:space="preserve">” and “full ratchet”). The </w:t>
      </w:r>
      <w:r w:rsidRPr="008B151F">
        <w:t>broad based weighted average anti-dilution provision</w:t>
      </w:r>
      <w:r>
        <w:t xml:space="preserve"> </w:t>
      </w:r>
      <w:r w:rsidR="0049445C">
        <w:t xml:space="preserve">is most common in the NZ context and is the type </w:t>
      </w:r>
      <w:r>
        <w:t>used in the AANZ templates</w:t>
      </w:r>
      <w:r w:rsidR="0049445C">
        <w:t>. It</w:t>
      </w:r>
      <w:r>
        <w:t xml:space="preserve"> results in the least number of shares being issued to Investors when compared with “n</w:t>
      </w:r>
      <w:r w:rsidRPr="008B151F">
        <w:t>arrow-based weighted average</w:t>
      </w:r>
      <w:r>
        <w:t xml:space="preserve">” and “full ratchet” </w:t>
      </w:r>
      <w:r w:rsidRPr="008B151F">
        <w:t>anti-dilution provision</w:t>
      </w:r>
      <w:r>
        <w:t xml:space="preserve">s. </w:t>
      </w:r>
    </w:p>
    <w:p w:rsidR="00B67523" w:rsidRPr="008B151F" w:rsidRDefault="00B67523" w:rsidP="008B151F">
      <w:pPr>
        <w:pStyle w:val="FootnoteText"/>
        <w:ind w:left="284" w:hanging="284"/>
      </w:pPr>
    </w:p>
  </w:footnote>
  <w:footnote w:id="12">
    <w:p w:rsidR="00540297" w:rsidRDefault="00540297" w:rsidP="00552798">
      <w:pPr>
        <w:pStyle w:val="FootnoteText"/>
        <w:ind w:left="284" w:hanging="284"/>
      </w:pPr>
      <w:r>
        <w:rPr>
          <w:rStyle w:val="FootnoteReference"/>
        </w:rPr>
        <w:footnoteRef/>
      </w:r>
      <w:r>
        <w:t xml:space="preserve"> </w:t>
      </w:r>
      <w:r>
        <w:tab/>
      </w:r>
      <w:r>
        <w:rPr>
          <w:b/>
          <w:u w:val="single"/>
        </w:rPr>
        <w:t>Founder</w:t>
      </w:r>
      <w:r w:rsidRPr="00552798">
        <w:rPr>
          <w:b/>
          <w:u w:val="single"/>
        </w:rPr>
        <w:t xml:space="preserve"> Warranties</w:t>
      </w:r>
      <w:r>
        <w:t xml:space="preserve">: For investments in earlier stage companies, it may be appropriate for Founders (or a subset of them) to provide warranties subject to an appropriate cap – see the footnote below. The purpose of the warranty regime is to focus the parties on the information and disclosure process to ensure both parties are entering into the investment in an informed manner. Founder warranties can help bring focus to this process. </w:t>
      </w:r>
    </w:p>
    <w:p w:rsidR="00B67523" w:rsidRDefault="00B67523" w:rsidP="00552798">
      <w:pPr>
        <w:pStyle w:val="FootnoteText"/>
        <w:ind w:left="284" w:hanging="284"/>
      </w:pPr>
    </w:p>
  </w:footnote>
  <w:footnote w:id="13">
    <w:p w:rsidR="00540297" w:rsidRDefault="00540297" w:rsidP="006B566A">
      <w:pPr>
        <w:pStyle w:val="FootnoteText"/>
        <w:ind w:left="284" w:hanging="284"/>
      </w:pPr>
      <w:r>
        <w:rPr>
          <w:rStyle w:val="FootnoteReference"/>
        </w:rPr>
        <w:footnoteRef/>
      </w:r>
      <w:r>
        <w:t xml:space="preserve"> </w:t>
      </w:r>
      <w:r>
        <w:tab/>
      </w:r>
      <w:r w:rsidRPr="006B566A">
        <w:rPr>
          <w:b/>
          <w:u w:val="single"/>
        </w:rPr>
        <w:t>Cap on Founder Warranties</w:t>
      </w:r>
      <w:r>
        <w:t>:  If Founder warranties are given, the parties should consider what an appropriate cap should be in the context of the investment.</w:t>
      </w:r>
    </w:p>
    <w:p w:rsidR="00B67523" w:rsidRDefault="00B67523" w:rsidP="006B566A">
      <w:pPr>
        <w:pStyle w:val="FootnoteText"/>
        <w:ind w:left="284" w:hanging="284"/>
      </w:pPr>
    </w:p>
  </w:footnote>
  <w:footnote w:id="14">
    <w:p w:rsidR="00540297" w:rsidRDefault="00540297" w:rsidP="001F2EF2">
      <w:pPr>
        <w:pStyle w:val="FootnoteText"/>
        <w:ind w:left="284" w:hanging="284"/>
      </w:pPr>
      <w:r>
        <w:rPr>
          <w:rStyle w:val="FootnoteReference"/>
        </w:rPr>
        <w:footnoteRef/>
      </w:r>
      <w:r w:rsidRPr="001F2EF2">
        <w:rPr>
          <w:rStyle w:val="FootnoteReference"/>
        </w:rPr>
        <w:t xml:space="preserve"> </w:t>
      </w:r>
      <w:r>
        <w:tab/>
      </w:r>
      <w:r w:rsidRPr="001F2EF2">
        <w:rPr>
          <w:b/>
          <w:u w:val="single"/>
        </w:rPr>
        <w:t>Angel Club Transaction Commission</w:t>
      </w:r>
      <w:r>
        <w:t xml:space="preserve">: NZ Angel Clubs and some other types of investment groups may charge a commission on </w:t>
      </w:r>
      <w:r w:rsidRPr="001F2EF2">
        <w:t>funds raised from the club</w:t>
      </w:r>
      <w:r>
        <w:t xml:space="preserve"> or group. This is how many Angel clubs fund their activities. If a company is not raising funds through an Angel Club or other type of investment group that charges a transaction commission, this row can be deleted. </w:t>
      </w:r>
    </w:p>
    <w:p w:rsidR="00B67523" w:rsidRDefault="00B67523" w:rsidP="001F2EF2">
      <w:pPr>
        <w:pStyle w:val="FootnoteText"/>
        <w:ind w:left="284" w:hanging="284"/>
      </w:pPr>
    </w:p>
  </w:footnote>
  <w:footnote w:id="15">
    <w:p w:rsidR="00540297" w:rsidRDefault="00540297" w:rsidP="00C53A61">
      <w:pPr>
        <w:pStyle w:val="FootnoteText"/>
        <w:ind w:left="284" w:hanging="284"/>
      </w:pPr>
      <w:r>
        <w:rPr>
          <w:rStyle w:val="FootnoteReference"/>
        </w:rPr>
        <w:footnoteRef/>
      </w:r>
      <w:r w:rsidRPr="00C53A61">
        <w:rPr>
          <w:rStyle w:val="FootnoteReference"/>
        </w:rPr>
        <w:t xml:space="preserve"> </w:t>
      </w:r>
      <w:r>
        <w:tab/>
      </w:r>
      <w:r w:rsidRPr="00C53A61">
        <w:rPr>
          <w:b/>
          <w:u w:val="single"/>
        </w:rPr>
        <w:t>Board composition</w:t>
      </w:r>
      <w:r>
        <w:t xml:space="preserve">: Board composition should be carefully considered by the parties. If there are any percentage holding </w:t>
      </w:r>
      <w:r w:rsidR="00B67523">
        <w:t xml:space="preserve">or other </w:t>
      </w:r>
      <w:r>
        <w:t xml:space="preserve">requirements to maintain board appointment rights, these should be </w:t>
      </w:r>
      <w:r w:rsidR="00B67523">
        <w:t xml:space="preserve">recorded </w:t>
      </w:r>
      <w:r>
        <w:t xml:space="preserve">here. </w:t>
      </w:r>
    </w:p>
    <w:p w:rsidR="00B67523" w:rsidRPr="00C53A61" w:rsidRDefault="00B67523" w:rsidP="00C53A61">
      <w:pPr>
        <w:pStyle w:val="FootnoteText"/>
        <w:ind w:left="284" w:hanging="284"/>
        <w:rPr>
          <w:rStyle w:val="FootnoteReference"/>
        </w:rPr>
      </w:pPr>
    </w:p>
  </w:footnote>
  <w:footnote w:id="16">
    <w:p w:rsidR="00540297" w:rsidRDefault="00540297" w:rsidP="008B4BD3">
      <w:pPr>
        <w:pStyle w:val="FootnoteText"/>
        <w:ind w:left="284" w:right="28" w:hanging="284"/>
      </w:pPr>
      <w:r>
        <w:rPr>
          <w:rStyle w:val="FootnoteReference"/>
        </w:rPr>
        <w:footnoteRef/>
      </w:r>
      <w:r w:rsidRPr="008B4BD3">
        <w:rPr>
          <w:rStyle w:val="FootnoteReference"/>
        </w:rPr>
        <w:t xml:space="preserve"> </w:t>
      </w:r>
      <w:r>
        <w:tab/>
      </w:r>
      <w:r w:rsidRPr="008B4BD3">
        <w:rPr>
          <w:b/>
          <w:u w:val="single"/>
        </w:rPr>
        <w:t>NZVIF reporting</w:t>
      </w:r>
      <w:r>
        <w:t xml:space="preserve">: If NZVIF is an investor or existing shareholder, then the investment documents should make provision for NZVIF’s reporting requirements. </w:t>
      </w:r>
    </w:p>
    <w:p w:rsidR="00B67523" w:rsidRPr="008B4BD3" w:rsidRDefault="00B67523" w:rsidP="008B4BD3">
      <w:pPr>
        <w:pStyle w:val="FootnoteText"/>
        <w:ind w:left="284" w:right="28" w:hanging="284"/>
        <w:rPr>
          <w:rStyle w:val="FootnoteReference"/>
        </w:rPr>
      </w:pPr>
    </w:p>
  </w:footnote>
  <w:footnote w:id="17">
    <w:p w:rsidR="00540297" w:rsidRDefault="00540297" w:rsidP="0012078F">
      <w:pPr>
        <w:pStyle w:val="FootnoteText"/>
        <w:ind w:left="284" w:right="28" w:hanging="284"/>
      </w:pPr>
      <w:r>
        <w:rPr>
          <w:rStyle w:val="FootnoteReference"/>
        </w:rPr>
        <w:footnoteRef/>
      </w:r>
      <w:r w:rsidRPr="0012078F">
        <w:rPr>
          <w:rStyle w:val="FootnoteReference"/>
        </w:rPr>
        <w:t xml:space="preserve"> </w:t>
      </w:r>
      <w:r w:rsidRPr="0012078F">
        <w:rPr>
          <w:rStyle w:val="FootnoteReference"/>
        </w:rPr>
        <w:tab/>
      </w:r>
      <w:r w:rsidRPr="0012078F">
        <w:rPr>
          <w:b/>
          <w:u w:val="single"/>
        </w:rPr>
        <w:t xml:space="preserve">Drag </w:t>
      </w:r>
      <w:proofErr w:type="gramStart"/>
      <w:r w:rsidRPr="0012078F">
        <w:rPr>
          <w:b/>
          <w:u w:val="single"/>
        </w:rPr>
        <w:t>Along</w:t>
      </w:r>
      <w:proofErr w:type="gramEnd"/>
      <w:r w:rsidRPr="0012078F">
        <w:rPr>
          <w:b/>
          <w:u w:val="single"/>
        </w:rPr>
        <w:t xml:space="preserve"> Rights</w:t>
      </w:r>
      <w:r>
        <w:t xml:space="preserve">: </w:t>
      </w:r>
      <w:r w:rsidRPr="002446BF">
        <w:t>Drag</w:t>
      </w:r>
      <w:r w:rsidR="00B67523">
        <w:t xml:space="preserve"> </w:t>
      </w:r>
      <w:r w:rsidRPr="002446BF">
        <w:t xml:space="preserve">along rights give the company the right to force all shareholders to participate in and vote for a sale of the company if the sale has been </w:t>
      </w:r>
      <w:r w:rsidR="00B67523">
        <w:t xml:space="preserve">agreed by a significant portion </w:t>
      </w:r>
      <w:r>
        <w:t>of the shareholder</w:t>
      </w:r>
      <w:r w:rsidR="00B67523">
        <w:t>s</w:t>
      </w:r>
      <w:r>
        <w:t xml:space="preserve">. </w:t>
      </w:r>
      <w:r w:rsidRPr="002446BF">
        <w:t xml:space="preserve">Those selling shareholders are able to force any of the remaining minority to also sell their shares in the company, on the same terms and to the same buyer. </w:t>
      </w:r>
      <w:r>
        <w:t xml:space="preserve">This can be a useful tool in managing an exit transaction. </w:t>
      </w:r>
      <w:r w:rsidR="00B67523">
        <w:t xml:space="preserve">The triggering % can vary but </w:t>
      </w:r>
      <w:r>
        <w:t xml:space="preserve">75% is often used as the starting point because it aligns with the </w:t>
      </w:r>
      <w:r w:rsidRPr="002446BF">
        <w:t>approval threshold under the Companies Act 1993 for major transactions</w:t>
      </w:r>
      <w:r>
        <w:t xml:space="preserve">, however the company’s share register should be specifically considered in relation to who </w:t>
      </w:r>
      <w:r w:rsidR="0049445C">
        <w:t xml:space="preserve">(or what groups) </w:t>
      </w:r>
      <w:r>
        <w:t xml:space="preserve">may be able to compel who to </w:t>
      </w:r>
      <w:r w:rsidR="00B67523">
        <w:t>sell</w:t>
      </w:r>
      <w:r>
        <w:t xml:space="preserve">. </w:t>
      </w:r>
    </w:p>
    <w:p w:rsidR="00B67523" w:rsidRPr="0012078F" w:rsidRDefault="00B67523" w:rsidP="0012078F">
      <w:pPr>
        <w:pStyle w:val="FootnoteText"/>
        <w:ind w:left="284" w:right="28" w:hanging="284"/>
      </w:pPr>
    </w:p>
  </w:footnote>
  <w:footnote w:id="18">
    <w:p w:rsidR="00540297" w:rsidRDefault="00540297" w:rsidP="0012078F">
      <w:pPr>
        <w:pStyle w:val="FootnoteText"/>
        <w:ind w:left="284" w:right="28" w:hanging="284"/>
      </w:pPr>
      <w:r>
        <w:rPr>
          <w:rStyle w:val="FootnoteReference"/>
        </w:rPr>
        <w:footnoteRef/>
      </w:r>
      <w:r w:rsidRPr="0012078F">
        <w:rPr>
          <w:rStyle w:val="FootnoteReference"/>
        </w:rPr>
        <w:t xml:space="preserve"> </w:t>
      </w:r>
      <w:r>
        <w:rPr>
          <w:rStyle w:val="FootnoteReference"/>
        </w:rPr>
        <w:tab/>
      </w:r>
      <w:r>
        <w:rPr>
          <w:b/>
          <w:u w:val="single"/>
        </w:rPr>
        <w:t>Tag</w:t>
      </w:r>
      <w:r w:rsidRPr="0012078F">
        <w:rPr>
          <w:b/>
          <w:u w:val="single"/>
        </w:rPr>
        <w:t xml:space="preserve"> Along Rights</w:t>
      </w:r>
      <w:r>
        <w:t xml:space="preserve">: </w:t>
      </w:r>
      <w:r w:rsidRPr="00540297">
        <w:t xml:space="preserve">Tag along rights </w:t>
      </w:r>
      <w:r>
        <w:t>allow</w:t>
      </w:r>
      <w:r w:rsidRPr="00540297">
        <w:t xml:space="preserve"> minority shareholders to sell their shares (on the same terms and to the same buyer) if a large enough shareholding is being sold</w:t>
      </w:r>
      <w:r>
        <w:t xml:space="preserve"> </w:t>
      </w:r>
      <w:r w:rsidR="002D39EB">
        <w:t xml:space="preserve">by other shareholders </w:t>
      </w:r>
      <w:r>
        <w:t>so that minority shareholders do not miss out on a partial (or full) exit event</w:t>
      </w:r>
      <w:r w:rsidRPr="00540297">
        <w:t xml:space="preserve">. </w:t>
      </w:r>
      <w:r>
        <w:t>Thresholds can vary</w:t>
      </w:r>
      <w:r w:rsidR="0049445C">
        <w:t xml:space="preserve"> among investment deals. Some adopt a</w:t>
      </w:r>
      <w:r w:rsidR="002D39EB">
        <w:t xml:space="preserve"> </w:t>
      </w:r>
      <w:r>
        <w:t xml:space="preserve">threshold of 50% of the company’s shares </w:t>
      </w:r>
      <w:r w:rsidR="0049445C">
        <w:t>(</w:t>
      </w:r>
      <w:r>
        <w:t xml:space="preserve">because </w:t>
      </w:r>
      <w:r w:rsidRPr="00540297">
        <w:t>a change in control is the logical trigger for providing minority shareholders with a right to</w:t>
      </w:r>
      <w:r>
        <w:t xml:space="preserve"> also participate in that sale</w:t>
      </w:r>
      <w:r w:rsidR="0049445C">
        <w:t>). Others adopt lower thresholds of 10-25% (on the basis that anyone looking to exit a material portion of shares should also give others the same opportunity)</w:t>
      </w:r>
      <w:r>
        <w:t>.</w:t>
      </w:r>
    </w:p>
    <w:p w:rsidR="00B67523" w:rsidRPr="0012078F" w:rsidRDefault="00B67523" w:rsidP="0012078F">
      <w:pPr>
        <w:pStyle w:val="FootnoteText"/>
        <w:ind w:left="284" w:right="28" w:hanging="284"/>
        <w:rPr>
          <w:rStyle w:val="FootnoteReference"/>
        </w:rPr>
      </w:pPr>
    </w:p>
  </w:footnote>
  <w:footnote w:id="19">
    <w:p w:rsidR="00540297" w:rsidRDefault="00540297" w:rsidP="00B547AF">
      <w:pPr>
        <w:pStyle w:val="FootnoteText"/>
        <w:ind w:left="284" w:right="28" w:hanging="284"/>
      </w:pPr>
      <w:r>
        <w:rPr>
          <w:rStyle w:val="FootnoteReference"/>
        </w:rPr>
        <w:footnoteRef/>
      </w:r>
      <w:r>
        <w:t xml:space="preserve"> </w:t>
      </w:r>
      <w:r>
        <w:tab/>
      </w:r>
      <w:r>
        <w:rPr>
          <w:b/>
          <w:u w:val="single"/>
        </w:rPr>
        <w:t>Founders</w:t>
      </w:r>
      <w:r>
        <w:t>: The term "Founders" is common</w:t>
      </w:r>
      <w:r w:rsidR="00B67523">
        <w:t>ly</w:t>
      </w:r>
      <w:r>
        <w:t xml:space="preserve"> used, but the arrangements in this section may </w:t>
      </w:r>
      <w:r w:rsidR="00B67523">
        <w:t xml:space="preserve">sometimes </w:t>
      </w:r>
      <w:r>
        <w:t>extend to other "Key People" depending on the context. The arrangements set out in this section of the term sheet need to be carefully considered in the context of the investment.</w:t>
      </w:r>
    </w:p>
    <w:p w:rsidR="00B67523" w:rsidRDefault="00B67523" w:rsidP="00B547AF">
      <w:pPr>
        <w:pStyle w:val="FootnoteText"/>
        <w:ind w:left="284" w:right="28" w:hanging="284"/>
      </w:pPr>
    </w:p>
  </w:footnote>
  <w:footnote w:id="20">
    <w:p w:rsidR="00540297" w:rsidRDefault="00540297" w:rsidP="00B67523">
      <w:pPr>
        <w:pStyle w:val="FootnoteText"/>
        <w:ind w:left="284" w:right="28" w:hanging="284"/>
      </w:pPr>
      <w:r>
        <w:rPr>
          <w:rStyle w:val="FootnoteReference"/>
        </w:rPr>
        <w:footnoteRef/>
      </w:r>
      <w:r w:rsidRPr="008B4BD3">
        <w:rPr>
          <w:rStyle w:val="FootnoteReference"/>
        </w:rPr>
        <w:t xml:space="preserve"> </w:t>
      </w:r>
      <w:r>
        <w:tab/>
      </w:r>
      <w:r w:rsidRPr="008B4BD3">
        <w:rPr>
          <w:b/>
          <w:u w:val="single"/>
        </w:rPr>
        <w:t>Founder Vesting</w:t>
      </w:r>
      <w:r>
        <w:t xml:space="preserve">: </w:t>
      </w:r>
      <w:r w:rsidRPr="008B4BD3">
        <w:t xml:space="preserve">The point of founder vesting is that it is </w:t>
      </w:r>
      <w:r w:rsidR="002D39EB">
        <w:t>un</w:t>
      </w:r>
      <w:r w:rsidRPr="008B4BD3">
        <w:t>fair to the rest of the shareholders, particularly the other founders, if one founder leaves ea</w:t>
      </w:r>
      <w:r>
        <w:t xml:space="preserve">rly on in the life of a company. Founder vesting allows the company to take back a portion of a </w:t>
      </w:r>
      <w:r w:rsidRPr="008B4BD3">
        <w:t>founder</w:t>
      </w:r>
      <w:r>
        <w:t xml:space="preserve">’s shares if that founder </w:t>
      </w:r>
      <w:r w:rsidRPr="008B4BD3">
        <w:t>leave</w:t>
      </w:r>
      <w:r>
        <w:t>s</w:t>
      </w:r>
      <w:r w:rsidRPr="008B4BD3">
        <w:t xml:space="preserve"> the company within </w:t>
      </w:r>
      <w:r w:rsidR="002D39EB">
        <w:t>the vesting</w:t>
      </w:r>
      <w:r>
        <w:t xml:space="preserve"> period</w:t>
      </w:r>
      <w:r w:rsidR="002D39EB">
        <w:t>.</w:t>
      </w:r>
      <w:r w:rsidR="0049445C">
        <w:t xml:space="preserve"> The portion at risk is often negotiated, and is rarely 100%. </w:t>
      </w:r>
      <w:r w:rsidR="002D39EB">
        <w:t>A typical</w:t>
      </w:r>
      <w:r>
        <w:t xml:space="preserve"> vesting period will be 3-4 years with</w:t>
      </w:r>
      <w:r w:rsidR="002D39EB">
        <w:t xml:space="preserve"> 1/3 or 1/4</w:t>
      </w:r>
      <w:r>
        <w:t xml:space="preserve"> </w:t>
      </w:r>
      <w:r w:rsidR="002D39EB">
        <w:t xml:space="preserve">of founder shares </w:t>
      </w:r>
      <w:r>
        <w:t>vest</w:t>
      </w:r>
      <w:r w:rsidR="002D39EB">
        <w:t>ing after 1 year (the vesting “cliff”), and the remaining</w:t>
      </w:r>
      <w:r>
        <w:t xml:space="preserve"> </w:t>
      </w:r>
      <w:r w:rsidR="002D39EB">
        <w:t xml:space="preserve">founder shares </w:t>
      </w:r>
      <w:r>
        <w:t xml:space="preserve">vesting in equal monthly tranches over 2-3 years. Ideally multi-founder teams will have already agreed </w:t>
      </w:r>
      <w:r w:rsidR="002D39EB">
        <w:t xml:space="preserve">appropriate </w:t>
      </w:r>
      <w:r>
        <w:t>vesting arrangements at the outset</w:t>
      </w:r>
      <w:r w:rsidR="002D39EB">
        <w:t xml:space="preserve"> of their venture but, if not, </w:t>
      </w:r>
      <w:r>
        <w:t xml:space="preserve">it is advisable to consider founder vesting </w:t>
      </w:r>
      <w:r w:rsidR="00B67523">
        <w:t>at the time investment terms are being agreed</w:t>
      </w:r>
      <w:r>
        <w:t>.</w:t>
      </w:r>
      <w:r w:rsidR="002D39EB">
        <w:t xml:space="preserve"> </w:t>
      </w:r>
    </w:p>
    <w:p w:rsidR="00B67523" w:rsidRPr="008B4BD3" w:rsidRDefault="00B67523" w:rsidP="00B67523">
      <w:pPr>
        <w:pStyle w:val="FootnoteText"/>
        <w:ind w:left="284" w:right="28" w:hanging="284"/>
      </w:pPr>
    </w:p>
  </w:footnote>
  <w:footnote w:id="21">
    <w:p w:rsidR="00B67523" w:rsidRDefault="00B67523" w:rsidP="00B67523">
      <w:pPr>
        <w:pStyle w:val="FootnoteText"/>
        <w:ind w:left="284" w:right="28" w:hanging="284"/>
      </w:pPr>
      <w:r>
        <w:rPr>
          <w:rStyle w:val="FootnoteReference"/>
        </w:rPr>
        <w:footnoteRef/>
      </w:r>
      <w:r w:rsidRPr="00B67523">
        <w:rPr>
          <w:rStyle w:val="FootnoteReference"/>
        </w:rPr>
        <w:t xml:space="preserve"> </w:t>
      </w:r>
      <w:r>
        <w:tab/>
      </w:r>
      <w:r w:rsidRPr="00B67523">
        <w:rPr>
          <w:b/>
          <w:u w:val="single"/>
        </w:rPr>
        <w:t>% of shares subject to vesting</w:t>
      </w:r>
      <w:r w:rsidRPr="00B67523">
        <w:t xml:space="preserve">: </w:t>
      </w:r>
      <w:r>
        <w:t>Excluding</w:t>
      </w:r>
      <w:r w:rsidRPr="00B67523">
        <w:t xml:space="preserve"> a percentage of each founder’s shares from the vesting arrangements</w:t>
      </w:r>
      <w:r>
        <w:t xml:space="preserve"> is a common compromise agreed between parties where a</w:t>
      </w:r>
      <w:r w:rsidRPr="00B67523">
        <w:t xml:space="preserve"> compan</w:t>
      </w:r>
      <w:r>
        <w:t>y</w:t>
      </w:r>
      <w:r w:rsidRPr="00B67523">
        <w:t xml:space="preserve"> </w:t>
      </w:r>
      <w:r>
        <w:t xml:space="preserve">may </w:t>
      </w:r>
      <w:r w:rsidRPr="00B67523">
        <w:t>have operated for longer</w:t>
      </w:r>
      <w:r>
        <w:t xml:space="preserve"> period</w:t>
      </w:r>
      <w:r w:rsidRPr="00B67523">
        <w:t>, or to which founders have contributed cash or significant IP developed prior to the commencement of the venture</w:t>
      </w:r>
      <w:r>
        <w:t xml:space="preserve">. </w:t>
      </w:r>
    </w:p>
    <w:p w:rsidR="00B67523" w:rsidRPr="00B67523" w:rsidRDefault="00B67523" w:rsidP="00B67523">
      <w:pPr>
        <w:pStyle w:val="FootnoteText"/>
        <w:ind w:left="284" w:right="28" w:hanging="284"/>
      </w:pPr>
    </w:p>
  </w:footnote>
  <w:footnote w:id="22">
    <w:p w:rsidR="00540297" w:rsidRDefault="00540297" w:rsidP="009874D2">
      <w:pPr>
        <w:pStyle w:val="FootnoteText"/>
        <w:ind w:left="284" w:right="28" w:hanging="284"/>
      </w:pPr>
      <w:r>
        <w:rPr>
          <w:rStyle w:val="FootnoteReference"/>
        </w:rPr>
        <w:footnoteRef/>
      </w:r>
      <w:r w:rsidRPr="009874D2">
        <w:rPr>
          <w:rStyle w:val="FootnoteReference"/>
        </w:rPr>
        <w:t xml:space="preserve"> </w:t>
      </w:r>
      <w:r>
        <w:tab/>
      </w:r>
      <w:r w:rsidRPr="009874D2">
        <w:rPr>
          <w:b/>
          <w:u w:val="single"/>
        </w:rPr>
        <w:t>Exclusive Period</w:t>
      </w:r>
      <w:r>
        <w:t xml:space="preserve">: </w:t>
      </w:r>
      <w:r w:rsidR="00B67523">
        <w:t>I</w:t>
      </w:r>
      <w:r>
        <w:t>t may be appropriate for Investors to ask that the Company not enter into or negotiate</w:t>
      </w:r>
      <w:r w:rsidRPr="00A7076B">
        <w:t xml:space="preserve"> </w:t>
      </w:r>
      <w:r w:rsidR="00B67523">
        <w:t xml:space="preserve">investment </w:t>
      </w:r>
      <w:r w:rsidRPr="00A7076B">
        <w:t>with any other party for a designated period</w:t>
      </w:r>
      <w:r w:rsidR="00B67523">
        <w:t xml:space="preserve"> if they intend to take up the full round</w:t>
      </w:r>
      <w:r>
        <w:t xml:space="preserve">. </w:t>
      </w:r>
      <w:r w:rsidRPr="00A7076B">
        <w:t xml:space="preserve">This </w:t>
      </w:r>
      <w:r>
        <w:t>may</w:t>
      </w:r>
      <w:r w:rsidRPr="00A7076B">
        <w:t xml:space="preserve"> a reasonable request, as the investors will be investing time</w:t>
      </w:r>
      <w:r>
        <w:t xml:space="preserve"> in due diligence</w:t>
      </w:r>
      <w:r w:rsidRPr="00A7076B">
        <w:t>, legal fees, and resources to complete the transaction.</w:t>
      </w:r>
      <w:r w:rsidR="00B67523">
        <w:t xml:space="preserve"> In other cases, this section may not be appropriate and can be deleted. </w:t>
      </w:r>
    </w:p>
    <w:p w:rsidR="00B67523" w:rsidRDefault="00B67523" w:rsidP="009874D2">
      <w:pPr>
        <w:pStyle w:val="FootnoteText"/>
        <w:ind w:left="284" w:right="28" w:hanging="284"/>
      </w:pPr>
    </w:p>
  </w:footnote>
  <w:footnote w:id="23">
    <w:p w:rsidR="00540297" w:rsidRDefault="00540297" w:rsidP="00C76159">
      <w:pPr>
        <w:pStyle w:val="FootnoteText"/>
        <w:ind w:left="284" w:right="28" w:hanging="284"/>
      </w:pPr>
      <w:r>
        <w:rPr>
          <w:rStyle w:val="FootnoteReference"/>
        </w:rPr>
        <w:footnoteRef/>
      </w:r>
      <w:r w:rsidRPr="00C76159">
        <w:rPr>
          <w:rStyle w:val="FootnoteReference"/>
        </w:rPr>
        <w:t xml:space="preserve"> </w:t>
      </w:r>
      <w:r>
        <w:tab/>
      </w:r>
      <w:r w:rsidRPr="00C76159">
        <w:rPr>
          <w:b/>
          <w:u w:val="single"/>
        </w:rPr>
        <w:t>Legal Costs</w:t>
      </w:r>
      <w:r>
        <w:t xml:space="preserve">: </w:t>
      </w:r>
      <w:r w:rsidRPr="00C76159">
        <w:t>Term sheets will typically include a commitment from the company to reimburse the reasonable legal fees of the</w:t>
      </w:r>
      <w:r>
        <w:t xml:space="preserve"> lead investor</w:t>
      </w:r>
      <w:r w:rsidRPr="00C76159">
        <w:t xml:space="preserve">. This obligation is typically “capped” at a specific amount, but if the deal takes longer or requires more legal work than was expected, the cap </w:t>
      </w:r>
      <w:r w:rsidR="00B67523">
        <w:t xml:space="preserve">may be subsequently </w:t>
      </w:r>
      <w:r w:rsidRPr="00C76159">
        <w:t xml:space="preserve">revised </w:t>
      </w:r>
      <w:r w:rsidR="00B67523">
        <w:t xml:space="preserve">by mutual agreement </w:t>
      </w:r>
      <w:r w:rsidRPr="00C76159">
        <w:t>to take that into account.</w:t>
      </w:r>
    </w:p>
    <w:p w:rsidR="00B67523" w:rsidRDefault="00B67523" w:rsidP="00C76159">
      <w:pPr>
        <w:pStyle w:val="FootnoteText"/>
        <w:ind w:left="284" w:right="28"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A4" w:rsidRDefault="00BB4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A4" w:rsidRDefault="00BB4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97" w:rsidRDefault="00540297" w:rsidP="00EB2573">
    <w:pPr>
      <w:pStyle w:val="Header"/>
      <w:tabs>
        <w:tab w:val="left" w:pos="7371"/>
      </w:tabs>
      <w:jc w:val="center"/>
      <w:rPr>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97" w:rsidRDefault="005402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97" w:rsidRDefault="00540297" w:rsidP="000239D0">
    <w:pPr>
      <w:pStyle w:val="Header"/>
      <w:pBdr>
        <w:bottom w:val="single" w:sz="4" w:space="1" w:color="auto"/>
      </w:pBdr>
      <w:spacing w:before="6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97" w:rsidRDefault="00540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1EAFFD4"/>
    <w:lvl w:ilvl="0">
      <w:start w:val="1"/>
      <w:numFmt w:val="decimal"/>
      <w:pStyle w:val="Heading1"/>
      <w:lvlText w:val="%1."/>
      <w:lvlJc w:val="left"/>
      <w:pPr>
        <w:tabs>
          <w:tab w:val="num" w:pos="851"/>
        </w:tabs>
        <w:ind w:left="851" w:hanging="851"/>
      </w:pPr>
      <w:rPr>
        <w:rFonts w:ascii="Arial" w:hAnsi="Arial" w:cs="Arial" w:hint="default"/>
        <w:color w:val="000000"/>
        <w:sz w:val="21"/>
      </w:rPr>
    </w:lvl>
    <w:lvl w:ilvl="1">
      <w:start w:val="1"/>
      <w:numFmt w:val="lowerLetter"/>
      <w:pStyle w:val="Heading2"/>
      <w:lvlText w:val="(%2)"/>
      <w:lvlJc w:val="left"/>
      <w:pPr>
        <w:tabs>
          <w:tab w:val="num" w:pos="1702"/>
        </w:tabs>
        <w:ind w:left="1702" w:hanging="851"/>
      </w:pPr>
      <w:rPr>
        <w:rFonts w:ascii="Arial" w:hAnsi="Arial" w:cs="Arial" w:hint="default"/>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01C92FEF"/>
    <w:multiLevelType w:val="hybridMultilevel"/>
    <w:tmpl w:val="5BD09DEA"/>
    <w:lvl w:ilvl="0" w:tplc="1409000F">
      <w:start w:val="1"/>
      <w:numFmt w:val="decimal"/>
      <w:lvlText w:val="%1."/>
      <w:lvlJc w:val="left"/>
      <w:pPr>
        <w:tabs>
          <w:tab w:val="num" w:pos="850"/>
        </w:tabs>
        <w:ind w:left="850" w:hanging="850"/>
      </w:pPr>
      <w:rPr>
        <w:rFonts w:hint="default"/>
        <w:color w:val="000000"/>
      </w:rPr>
    </w:lvl>
    <w:lvl w:ilvl="1" w:tplc="A58212C8" w:tentative="1">
      <w:start w:val="1"/>
      <w:numFmt w:val="bullet"/>
      <w:lvlText w:val="o"/>
      <w:lvlJc w:val="left"/>
      <w:pPr>
        <w:tabs>
          <w:tab w:val="num" w:pos="1440"/>
        </w:tabs>
        <w:ind w:left="1440" w:hanging="360"/>
      </w:pPr>
      <w:rPr>
        <w:rFonts w:ascii="Courier New" w:hAnsi="Courier New" w:hint="default"/>
        <w:color w:val="000000"/>
      </w:rPr>
    </w:lvl>
    <w:lvl w:ilvl="2" w:tplc="246A731E" w:tentative="1">
      <w:start w:val="1"/>
      <w:numFmt w:val="bullet"/>
      <w:lvlText w:val=""/>
      <w:lvlJc w:val="left"/>
      <w:pPr>
        <w:tabs>
          <w:tab w:val="num" w:pos="2160"/>
        </w:tabs>
        <w:ind w:left="2160" w:hanging="360"/>
      </w:pPr>
      <w:rPr>
        <w:rFonts w:ascii="Wingdings" w:hAnsi="Wingdings" w:hint="default"/>
        <w:color w:val="000000"/>
      </w:rPr>
    </w:lvl>
    <w:lvl w:ilvl="3" w:tplc="4914DD32" w:tentative="1">
      <w:start w:val="1"/>
      <w:numFmt w:val="bullet"/>
      <w:lvlText w:val=""/>
      <w:lvlJc w:val="left"/>
      <w:pPr>
        <w:tabs>
          <w:tab w:val="num" w:pos="2880"/>
        </w:tabs>
        <w:ind w:left="2880" w:hanging="360"/>
      </w:pPr>
      <w:rPr>
        <w:rFonts w:ascii="Symbol" w:hAnsi="Symbol" w:hint="default"/>
        <w:color w:val="000000"/>
      </w:rPr>
    </w:lvl>
    <w:lvl w:ilvl="4" w:tplc="CD8E3606" w:tentative="1">
      <w:start w:val="1"/>
      <w:numFmt w:val="bullet"/>
      <w:lvlText w:val="o"/>
      <w:lvlJc w:val="left"/>
      <w:pPr>
        <w:tabs>
          <w:tab w:val="num" w:pos="3600"/>
        </w:tabs>
        <w:ind w:left="3600" w:hanging="360"/>
      </w:pPr>
      <w:rPr>
        <w:rFonts w:ascii="Courier New" w:hAnsi="Courier New" w:hint="default"/>
        <w:color w:val="000000"/>
      </w:rPr>
    </w:lvl>
    <w:lvl w:ilvl="5" w:tplc="0DA4CD82" w:tentative="1">
      <w:start w:val="1"/>
      <w:numFmt w:val="bullet"/>
      <w:lvlText w:val=""/>
      <w:lvlJc w:val="left"/>
      <w:pPr>
        <w:tabs>
          <w:tab w:val="num" w:pos="4320"/>
        </w:tabs>
        <w:ind w:left="4320" w:hanging="360"/>
      </w:pPr>
      <w:rPr>
        <w:rFonts w:ascii="Wingdings" w:hAnsi="Wingdings" w:hint="default"/>
        <w:color w:val="000000"/>
      </w:rPr>
    </w:lvl>
    <w:lvl w:ilvl="6" w:tplc="FD1845EE" w:tentative="1">
      <w:start w:val="1"/>
      <w:numFmt w:val="bullet"/>
      <w:lvlText w:val=""/>
      <w:lvlJc w:val="left"/>
      <w:pPr>
        <w:tabs>
          <w:tab w:val="num" w:pos="5040"/>
        </w:tabs>
        <w:ind w:left="5040" w:hanging="360"/>
      </w:pPr>
      <w:rPr>
        <w:rFonts w:ascii="Symbol" w:hAnsi="Symbol" w:hint="default"/>
        <w:color w:val="000000"/>
      </w:rPr>
    </w:lvl>
    <w:lvl w:ilvl="7" w:tplc="D39A587E" w:tentative="1">
      <w:start w:val="1"/>
      <w:numFmt w:val="bullet"/>
      <w:lvlText w:val="o"/>
      <w:lvlJc w:val="left"/>
      <w:pPr>
        <w:tabs>
          <w:tab w:val="num" w:pos="5760"/>
        </w:tabs>
        <w:ind w:left="5760" w:hanging="360"/>
      </w:pPr>
      <w:rPr>
        <w:rFonts w:ascii="Courier New" w:hAnsi="Courier New" w:hint="default"/>
        <w:color w:val="000000"/>
      </w:rPr>
    </w:lvl>
    <w:lvl w:ilvl="8" w:tplc="EF426600" w:tentative="1">
      <w:start w:val="1"/>
      <w:numFmt w:val="bullet"/>
      <w:lvlText w:val=""/>
      <w:lvlJc w:val="left"/>
      <w:pPr>
        <w:tabs>
          <w:tab w:val="num" w:pos="6480"/>
        </w:tabs>
        <w:ind w:left="6480" w:hanging="360"/>
      </w:pPr>
      <w:rPr>
        <w:rFonts w:ascii="Wingdings" w:hAnsi="Wingdings" w:hint="default"/>
        <w:color w:val="000000"/>
      </w:rPr>
    </w:lvl>
  </w:abstractNum>
  <w:abstractNum w:abstractNumId="2" w15:restartNumberingAfterBreak="0">
    <w:nsid w:val="02407882"/>
    <w:multiLevelType w:val="hybridMultilevel"/>
    <w:tmpl w:val="7B981714"/>
    <w:lvl w:ilvl="0" w:tplc="4C8CED1A">
      <w:start w:val="1"/>
      <w:numFmt w:val="bullet"/>
      <w:lvlText w:val=""/>
      <w:lvlJc w:val="left"/>
      <w:pPr>
        <w:tabs>
          <w:tab w:val="num" w:pos="850"/>
        </w:tabs>
        <w:ind w:left="850" w:hanging="850"/>
      </w:pPr>
      <w:rPr>
        <w:rFonts w:ascii="Symbol" w:hAnsi="Symbol" w:hint="default"/>
        <w:color w:val="000000"/>
      </w:rPr>
    </w:lvl>
    <w:lvl w:ilvl="1" w:tplc="1FBA9B76" w:tentative="1">
      <w:start w:val="1"/>
      <w:numFmt w:val="bullet"/>
      <w:lvlText w:val="o"/>
      <w:lvlJc w:val="left"/>
      <w:pPr>
        <w:tabs>
          <w:tab w:val="num" w:pos="1440"/>
        </w:tabs>
        <w:ind w:left="1440" w:hanging="360"/>
      </w:pPr>
      <w:rPr>
        <w:rFonts w:ascii="Courier New" w:hAnsi="Courier New" w:hint="default"/>
        <w:color w:val="000000"/>
      </w:rPr>
    </w:lvl>
    <w:lvl w:ilvl="2" w:tplc="3920F20C" w:tentative="1">
      <w:start w:val="1"/>
      <w:numFmt w:val="bullet"/>
      <w:lvlText w:val=""/>
      <w:lvlJc w:val="left"/>
      <w:pPr>
        <w:tabs>
          <w:tab w:val="num" w:pos="2160"/>
        </w:tabs>
        <w:ind w:left="2160" w:hanging="360"/>
      </w:pPr>
      <w:rPr>
        <w:rFonts w:ascii="Wingdings" w:hAnsi="Wingdings" w:hint="default"/>
        <w:color w:val="000000"/>
      </w:rPr>
    </w:lvl>
    <w:lvl w:ilvl="3" w:tplc="840C2372" w:tentative="1">
      <w:start w:val="1"/>
      <w:numFmt w:val="bullet"/>
      <w:lvlText w:val=""/>
      <w:lvlJc w:val="left"/>
      <w:pPr>
        <w:tabs>
          <w:tab w:val="num" w:pos="2880"/>
        </w:tabs>
        <w:ind w:left="2880" w:hanging="360"/>
      </w:pPr>
      <w:rPr>
        <w:rFonts w:ascii="Symbol" w:hAnsi="Symbol" w:hint="default"/>
        <w:color w:val="000000"/>
      </w:rPr>
    </w:lvl>
    <w:lvl w:ilvl="4" w:tplc="CF0E0C16" w:tentative="1">
      <w:start w:val="1"/>
      <w:numFmt w:val="bullet"/>
      <w:lvlText w:val="o"/>
      <w:lvlJc w:val="left"/>
      <w:pPr>
        <w:tabs>
          <w:tab w:val="num" w:pos="3600"/>
        </w:tabs>
        <w:ind w:left="3600" w:hanging="360"/>
      </w:pPr>
      <w:rPr>
        <w:rFonts w:ascii="Courier New" w:hAnsi="Courier New" w:hint="default"/>
        <w:color w:val="000000"/>
      </w:rPr>
    </w:lvl>
    <w:lvl w:ilvl="5" w:tplc="42400F86" w:tentative="1">
      <w:start w:val="1"/>
      <w:numFmt w:val="bullet"/>
      <w:lvlText w:val=""/>
      <w:lvlJc w:val="left"/>
      <w:pPr>
        <w:tabs>
          <w:tab w:val="num" w:pos="4320"/>
        </w:tabs>
        <w:ind w:left="4320" w:hanging="360"/>
      </w:pPr>
      <w:rPr>
        <w:rFonts w:ascii="Wingdings" w:hAnsi="Wingdings" w:hint="default"/>
        <w:color w:val="000000"/>
      </w:rPr>
    </w:lvl>
    <w:lvl w:ilvl="6" w:tplc="9762320A" w:tentative="1">
      <w:start w:val="1"/>
      <w:numFmt w:val="bullet"/>
      <w:lvlText w:val=""/>
      <w:lvlJc w:val="left"/>
      <w:pPr>
        <w:tabs>
          <w:tab w:val="num" w:pos="5040"/>
        </w:tabs>
        <w:ind w:left="5040" w:hanging="360"/>
      </w:pPr>
      <w:rPr>
        <w:rFonts w:ascii="Symbol" w:hAnsi="Symbol" w:hint="default"/>
        <w:color w:val="000000"/>
      </w:rPr>
    </w:lvl>
    <w:lvl w:ilvl="7" w:tplc="C88C398E" w:tentative="1">
      <w:start w:val="1"/>
      <w:numFmt w:val="bullet"/>
      <w:lvlText w:val="o"/>
      <w:lvlJc w:val="left"/>
      <w:pPr>
        <w:tabs>
          <w:tab w:val="num" w:pos="5760"/>
        </w:tabs>
        <w:ind w:left="5760" w:hanging="360"/>
      </w:pPr>
      <w:rPr>
        <w:rFonts w:ascii="Courier New" w:hAnsi="Courier New" w:hint="default"/>
        <w:color w:val="000000"/>
      </w:rPr>
    </w:lvl>
    <w:lvl w:ilvl="8" w:tplc="DB003E88" w:tentative="1">
      <w:start w:val="1"/>
      <w:numFmt w:val="bullet"/>
      <w:lvlText w:val=""/>
      <w:lvlJc w:val="left"/>
      <w:pPr>
        <w:tabs>
          <w:tab w:val="num" w:pos="6480"/>
        </w:tabs>
        <w:ind w:left="6480" w:hanging="360"/>
      </w:pPr>
      <w:rPr>
        <w:rFonts w:ascii="Wingdings" w:hAnsi="Wingdings" w:hint="default"/>
        <w:color w:val="000000"/>
      </w:rPr>
    </w:lvl>
  </w:abstractNum>
  <w:abstractNum w:abstractNumId="3" w15:restartNumberingAfterBreak="0">
    <w:nsid w:val="02B21376"/>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35335A9"/>
    <w:multiLevelType w:val="hybridMultilevel"/>
    <w:tmpl w:val="9572DBAC"/>
    <w:lvl w:ilvl="0" w:tplc="0D909E76">
      <w:start w:val="1"/>
      <w:numFmt w:val="lowerLetter"/>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E2707E"/>
    <w:multiLevelType w:val="hybridMultilevel"/>
    <w:tmpl w:val="D75A4E68"/>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bullet"/>
      <w:lvlText w:val="o"/>
      <w:lvlJc w:val="left"/>
      <w:pPr>
        <w:tabs>
          <w:tab w:val="num" w:pos="1440"/>
        </w:tabs>
        <w:ind w:left="1440" w:hanging="360"/>
      </w:pPr>
      <w:rPr>
        <w:rFonts w:ascii="Courier New" w:hAnsi="Courier New" w:hint="default"/>
        <w:color w:val="000000"/>
      </w:rPr>
    </w:lvl>
    <w:lvl w:ilvl="2" w:tplc="5A48D92C" w:tentative="1">
      <w:start w:val="1"/>
      <w:numFmt w:val="bullet"/>
      <w:lvlText w:val=""/>
      <w:lvlJc w:val="left"/>
      <w:pPr>
        <w:tabs>
          <w:tab w:val="num" w:pos="2160"/>
        </w:tabs>
        <w:ind w:left="2160" w:hanging="360"/>
      </w:pPr>
      <w:rPr>
        <w:rFonts w:ascii="Wingdings" w:hAnsi="Wingdings" w:hint="default"/>
        <w:color w:val="000000"/>
      </w:rPr>
    </w:lvl>
    <w:lvl w:ilvl="3" w:tplc="48C62AB8" w:tentative="1">
      <w:start w:val="1"/>
      <w:numFmt w:val="bullet"/>
      <w:lvlText w:val=""/>
      <w:lvlJc w:val="left"/>
      <w:pPr>
        <w:tabs>
          <w:tab w:val="num" w:pos="2880"/>
        </w:tabs>
        <w:ind w:left="2880" w:hanging="360"/>
      </w:pPr>
      <w:rPr>
        <w:rFonts w:ascii="Symbol" w:hAnsi="Symbol" w:hint="default"/>
        <w:color w:val="000000"/>
      </w:rPr>
    </w:lvl>
    <w:lvl w:ilvl="4" w:tplc="7B4812EC" w:tentative="1">
      <w:start w:val="1"/>
      <w:numFmt w:val="bullet"/>
      <w:lvlText w:val="o"/>
      <w:lvlJc w:val="left"/>
      <w:pPr>
        <w:tabs>
          <w:tab w:val="num" w:pos="3600"/>
        </w:tabs>
        <w:ind w:left="3600" w:hanging="360"/>
      </w:pPr>
      <w:rPr>
        <w:rFonts w:ascii="Courier New" w:hAnsi="Courier New" w:hint="default"/>
        <w:color w:val="000000"/>
      </w:rPr>
    </w:lvl>
    <w:lvl w:ilvl="5" w:tplc="4E8231E2" w:tentative="1">
      <w:start w:val="1"/>
      <w:numFmt w:val="bullet"/>
      <w:lvlText w:val=""/>
      <w:lvlJc w:val="left"/>
      <w:pPr>
        <w:tabs>
          <w:tab w:val="num" w:pos="4320"/>
        </w:tabs>
        <w:ind w:left="4320" w:hanging="360"/>
      </w:pPr>
      <w:rPr>
        <w:rFonts w:ascii="Wingdings" w:hAnsi="Wingdings" w:hint="default"/>
        <w:color w:val="000000"/>
      </w:rPr>
    </w:lvl>
    <w:lvl w:ilvl="6" w:tplc="AC4A45A2" w:tentative="1">
      <w:start w:val="1"/>
      <w:numFmt w:val="bullet"/>
      <w:lvlText w:val=""/>
      <w:lvlJc w:val="left"/>
      <w:pPr>
        <w:tabs>
          <w:tab w:val="num" w:pos="5040"/>
        </w:tabs>
        <w:ind w:left="5040" w:hanging="360"/>
      </w:pPr>
      <w:rPr>
        <w:rFonts w:ascii="Symbol" w:hAnsi="Symbol" w:hint="default"/>
        <w:color w:val="000000"/>
      </w:rPr>
    </w:lvl>
    <w:lvl w:ilvl="7" w:tplc="5DF63100" w:tentative="1">
      <w:start w:val="1"/>
      <w:numFmt w:val="bullet"/>
      <w:lvlText w:val="o"/>
      <w:lvlJc w:val="left"/>
      <w:pPr>
        <w:tabs>
          <w:tab w:val="num" w:pos="5760"/>
        </w:tabs>
        <w:ind w:left="5760" w:hanging="360"/>
      </w:pPr>
      <w:rPr>
        <w:rFonts w:ascii="Courier New" w:hAnsi="Courier New" w:hint="default"/>
        <w:color w:val="000000"/>
      </w:rPr>
    </w:lvl>
    <w:lvl w:ilvl="8" w:tplc="B100DA74" w:tentative="1">
      <w:start w:val="1"/>
      <w:numFmt w:val="bullet"/>
      <w:lvlText w:val=""/>
      <w:lvlJc w:val="left"/>
      <w:pPr>
        <w:tabs>
          <w:tab w:val="num" w:pos="6480"/>
        </w:tabs>
        <w:ind w:left="6480" w:hanging="360"/>
      </w:pPr>
      <w:rPr>
        <w:rFonts w:ascii="Wingdings" w:hAnsi="Wingdings" w:hint="default"/>
        <w:color w:val="000000"/>
      </w:rPr>
    </w:lvl>
  </w:abstractNum>
  <w:abstractNum w:abstractNumId="6" w15:restartNumberingAfterBreak="0">
    <w:nsid w:val="1B6E7DEE"/>
    <w:multiLevelType w:val="hybridMultilevel"/>
    <w:tmpl w:val="B17EADF6"/>
    <w:lvl w:ilvl="0" w:tplc="4C8CED1A">
      <w:start w:val="1"/>
      <w:numFmt w:val="bullet"/>
      <w:lvlText w:val=""/>
      <w:lvlJc w:val="left"/>
      <w:pPr>
        <w:tabs>
          <w:tab w:val="num" w:pos="850"/>
        </w:tabs>
        <w:ind w:left="850" w:hanging="850"/>
      </w:pPr>
      <w:rPr>
        <w:rFonts w:ascii="Symbol" w:hAnsi="Symbol" w:hint="default"/>
        <w:color w:val="000000"/>
      </w:rPr>
    </w:lvl>
    <w:lvl w:ilvl="1" w:tplc="87E4DCDC" w:tentative="1">
      <w:start w:val="1"/>
      <w:numFmt w:val="bullet"/>
      <w:lvlText w:val="o"/>
      <w:lvlJc w:val="left"/>
      <w:pPr>
        <w:tabs>
          <w:tab w:val="num" w:pos="1440"/>
        </w:tabs>
        <w:ind w:left="1440" w:hanging="360"/>
      </w:pPr>
      <w:rPr>
        <w:rFonts w:ascii="Courier New" w:hAnsi="Courier New" w:hint="default"/>
        <w:color w:val="000000"/>
      </w:rPr>
    </w:lvl>
    <w:lvl w:ilvl="2" w:tplc="83B891DA" w:tentative="1">
      <w:start w:val="1"/>
      <w:numFmt w:val="bullet"/>
      <w:lvlText w:val=""/>
      <w:lvlJc w:val="left"/>
      <w:pPr>
        <w:tabs>
          <w:tab w:val="num" w:pos="2160"/>
        </w:tabs>
        <w:ind w:left="2160" w:hanging="360"/>
      </w:pPr>
      <w:rPr>
        <w:rFonts w:ascii="Wingdings" w:hAnsi="Wingdings" w:hint="default"/>
        <w:color w:val="000000"/>
      </w:rPr>
    </w:lvl>
    <w:lvl w:ilvl="3" w:tplc="1130BA7A" w:tentative="1">
      <w:start w:val="1"/>
      <w:numFmt w:val="bullet"/>
      <w:lvlText w:val=""/>
      <w:lvlJc w:val="left"/>
      <w:pPr>
        <w:tabs>
          <w:tab w:val="num" w:pos="2880"/>
        </w:tabs>
        <w:ind w:left="2880" w:hanging="360"/>
      </w:pPr>
      <w:rPr>
        <w:rFonts w:ascii="Symbol" w:hAnsi="Symbol" w:hint="default"/>
        <w:color w:val="000000"/>
      </w:rPr>
    </w:lvl>
    <w:lvl w:ilvl="4" w:tplc="C1B009F6" w:tentative="1">
      <w:start w:val="1"/>
      <w:numFmt w:val="bullet"/>
      <w:lvlText w:val="o"/>
      <w:lvlJc w:val="left"/>
      <w:pPr>
        <w:tabs>
          <w:tab w:val="num" w:pos="3600"/>
        </w:tabs>
        <w:ind w:left="3600" w:hanging="360"/>
      </w:pPr>
      <w:rPr>
        <w:rFonts w:ascii="Courier New" w:hAnsi="Courier New" w:hint="default"/>
        <w:color w:val="000000"/>
      </w:rPr>
    </w:lvl>
    <w:lvl w:ilvl="5" w:tplc="BB1A880A" w:tentative="1">
      <w:start w:val="1"/>
      <w:numFmt w:val="bullet"/>
      <w:lvlText w:val=""/>
      <w:lvlJc w:val="left"/>
      <w:pPr>
        <w:tabs>
          <w:tab w:val="num" w:pos="4320"/>
        </w:tabs>
        <w:ind w:left="4320" w:hanging="360"/>
      </w:pPr>
      <w:rPr>
        <w:rFonts w:ascii="Wingdings" w:hAnsi="Wingdings" w:hint="default"/>
        <w:color w:val="000000"/>
      </w:rPr>
    </w:lvl>
    <w:lvl w:ilvl="6" w:tplc="F6F4B30C" w:tentative="1">
      <w:start w:val="1"/>
      <w:numFmt w:val="bullet"/>
      <w:lvlText w:val=""/>
      <w:lvlJc w:val="left"/>
      <w:pPr>
        <w:tabs>
          <w:tab w:val="num" w:pos="5040"/>
        </w:tabs>
        <w:ind w:left="5040" w:hanging="360"/>
      </w:pPr>
      <w:rPr>
        <w:rFonts w:ascii="Symbol" w:hAnsi="Symbol" w:hint="default"/>
        <w:color w:val="000000"/>
      </w:rPr>
    </w:lvl>
    <w:lvl w:ilvl="7" w:tplc="C9EE571E" w:tentative="1">
      <w:start w:val="1"/>
      <w:numFmt w:val="bullet"/>
      <w:lvlText w:val="o"/>
      <w:lvlJc w:val="left"/>
      <w:pPr>
        <w:tabs>
          <w:tab w:val="num" w:pos="5760"/>
        </w:tabs>
        <w:ind w:left="5760" w:hanging="360"/>
      </w:pPr>
      <w:rPr>
        <w:rFonts w:ascii="Courier New" w:hAnsi="Courier New" w:hint="default"/>
        <w:color w:val="000000"/>
      </w:rPr>
    </w:lvl>
    <w:lvl w:ilvl="8" w:tplc="4E240C60" w:tentative="1">
      <w:start w:val="1"/>
      <w:numFmt w:val="bullet"/>
      <w:lvlText w:val=""/>
      <w:lvlJc w:val="left"/>
      <w:pPr>
        <w:tabs>
          <w:tab w:val="num" w:pos="6480"/>
        </w:tabs>
        <w:ind w:left="6480" w:hanging="360"/>
      </w:pPr>
      <w:rPr>
        <w:rFonts w:ascii="Wingdings" w:hAnsi="Wingdings" w:hint="default"/>
        <w:color w:val="000000"/>
      </w:rPr>
    </w:lvl>
  </w:abstractNum>
  <w:abstractNum w:abstractNumId="7" w15:restartNumberingAfterBreak="0">
    <w:nsid w:val="245101A0"/>
    <w:multiLevelType w:val="hybridMultilevel"/>
    <w:tmpl w:val="2AAC5CB2"/>
    <w:lvl w:ilvl="0" w:tplc="B50063A0">
      <w:start w:val="1"/>
      <w:numFmt w:val="bullet"/>
      <w:lvlText w:val=""/>
      <w:lvlJc w:val="left"/>
      <w:pPr>
        <w:tabs>
          <w:tab w:val="num" w:pos="1701"/>
        </w:tabs>
        <w:ind w:left="1701" w:hanging="850"/>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4AD480B"/>
    <w:multiLevelType w:val="hybridMultilevel"/>
    <w:tmpl w:val="107260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8020BCE"/>
    <w:multiLevelType w:val="hybridMultilevel"/>
    <w:tmpl w:val="F112EF5E"/>
    <w:lvl w:ilvl="0" w:tplc="4C8CED1A">
      <w:start w:val="1"/>
      <w:numFmt w:val="bullet"/>
      <w:lvlText w:val=""/>
      <w:lvlJc w:val="left"/>
      <w:pPr>
        <w:tabs>
          <w:tab w:val="num" w:pos="850"/>
        </w:tabs>
        <w:ind w:left="850" w:hanging="850"/>
      </w:pPr>
      <w:rPr>
        <w:rFonts w:ascii="Symbol" w:hAnsi="Symbol" w:hint="default"/>
        <w:color w:val="000000"/>
      </w:rPr>
    </w:lvl>
    <w:lvl w:ilvl="1" w:tplc="5C441076" w:tentative="1">
      <w:start w:val="1"/>
      <w:numFmt w:val="lowerLetter"/>
      <w:lvlText w:val="%2."/>
      <w:lvlJc w:val="left"/>
      <w:pPr>
        <w:tabs>
          <w:tab w:val="num" w:pos="450"/>
        </w:tabs>
        <w:ind w:left="450" w:hanging="360"/>
      </w:pPr>
      <w:rPr>
        <w:color w:val="000000"/>
      </w:rPr>
    </w:lvl>
    <w:lvl w:ilvl="2" w:tplc="8D3A67BA" w:tentative="1">
      <w:start w:val="1"/>
      <w:numFmt w:val="lowerRoman"/>
      <w:lvlText w:val="%3."/>
      <w:lvlJc w:val="right"/>
      <w:pPr>
        <w:tabs>
          <w:tab w:val="num" w:pos="1170"/>
        </w:tabs>
        <w:ind w:left="1170" w:hanging="180"/>
      </w:pPr>
      <w:rPr>
        <w:color w:val="000000"/>
      </w:rPr>
    </w:lvl>
    <w:lvl w:ilvl="3" w:tplc="FCCCE454" w:tentative="1">
      <w:start w:val="1"/>
      <w:numFmt w:val="decimal"/>
      <w:lvlText w:val="%4."/>
      <w:lvlJc w:val="left"/>
      <w:pPr>
        <w:tabs>
          <w:tab w:val="num" w:pos="1890"/>
        </w:tabs>
        <w:ind w:left="1890" w:hanging="360"/>
      </w:pPr>
      <w:rPr>
        <w:color w:val="000000"/>
      </w:rPr>
    </w:lvl>
    <w:lvl w:ilvl="4" w:tplc="FA6A6D0C" w:tentative="1">
      <w:start w:val="1"/>
      <w:numFmt w:val="lowerLetter"/>
      <w:lvlText w:val="%5."/>
      <w:lvlJc w:val="left"/>
      <w:pPr>
        <w:tabs>
          <w:tab w:val="num" w:pos="2610"/>
        </w:tabs>
        <w:ind w:left="2610" w:hanging="360"/>
      </w:pPr>
      <w:rPr>
        <w:color w:val="000000"/>
      </w:rPr>
    </w:lvl>
    <w:lvl w:ilvl="5" w:tplc="8E8E7752" w:tentative="1">
      <w:start w:val="1"/>
      <w:numFmt w:val="lowerRoman"/>
      <w:lvlText w:val="%6."/>
      <w:lvlJc w:val="right"/>
      <w:pPr>
        <w:tabs>
          <w:tab w:val="num" w:pos="3330"/>
        </w:tabs>
        <w:ind w:left="3330" w:hanging="180"/>
      </w:pPr>
      <w:rPr>
        <w:color w:val="000000"/>
      </w:rPr>
    </w:lvl>
    <w:lvl w:ilvl="6" w:tplc="F0F45C90" w:tentative="1">
      <w:start w:val="1"/>
      <w:numFmt w:val="decimal"/>
      <w:lvlText w:val="%7."/>
      <w:lvlJc w:val="left"/>
      <w:pPr>
        <w:tabs>
          <w:tab w:val="num" w:pos="4050"/>
        </w:tabs>
        <w:ind w:left="4050" w:hanging="360"/>
      </w:pPr>
      <w:rPr>
        <w:color w:val="000000"/>
      </w:rPr>
    </w:lvl>
    <w:lvl w:ilvl="7" w:tplc="A6DE3D30" w:tentative="1">
      <w:start w:val="1"/>
      <w:numFmt w:val="lowerLetter"/>
      <w:lvlText w:val="%8."/>
      <w:lvlJc w:val="left"/>
      <w:pPr>
        <w:tabs>
          <w:tab w:val="num" w:pos="4770"/>
        </w:tabs>
        <w:ind w:left="4770" w:hanging="360"/>
      </w:pPr>
      <w:rPr>
        <w:color w:val="000000"/>
      </w:rPr>
    </w:lvl>
    <w:lvl w:ilvl="8" w:tplc="9F040226" w:tentative="1">
      <w:start w:val="1"/>
      <w:numFmt w:val="lowerRoman"/>
      <w:lvlText w:val="%9."/>
      <w:lvlJc w:val="right"/>
      <w:pPr>
        <w:tabs>
          <w:tab w:val="num" w:pos="5490"/>
        </w:tabs>
        <w:ind w:left="5490" w:hanging="180"/>
      </w:pPr>
      <w:rPr>
        <w:color w:val="000000"/>
      </w:rPr>
    </w:lvl>
  </w:abstractNum>
  <w:abstractNum w:abstractNumId="10" w15:restartNumberingAfterBreak="0">
    <w:nsid w:val="2D666689"/>
    <w:multiLevelType w:val="hybridMultilevel"/>
    <w:tmpl w:val="1AA0B61E"/>
    <w:lvl w:ilvl="0" w:tplc="4C8CED1A">
      <w:start w:val="1"/>
      <w:numFmt w:val="bullet"/>
      <w:lvlText w:val=""/>
      <w:lvlJc w:val="left"/>
      <w:pPr>
        <w:tabs>
          <w:tab w:val="num" w:pos="850"/>
        </w:tabs>
        <w:ind w:left="850" w:hanging="850"/>
      </w:pPr>
      <w:rPr>
        <w:rFonts w:ascii="Symbol" w:hAnsi="Symbol" w:hint="default"/>
        <w:color w:val="000000"/>
      </w:rPr>
    </w:lvl>
    <w:lvl w:ilvl="1" w:tplc="7DEC6D14" w:tentative="1">
      <w:start w:val="1"/>
      <w:numFmt w:val="bullet"/>
      <w:lvlText w:val="o"/>
      <w:lvlJc w:val="left"/>
      <w:pPr>
        <w:tabs>
          <w:tab w:val="num" w:pos="1440"/>
        </w:tabs>
        <w:ind w:left="1440" w:hanging="360"/>
      </w:pPr>
      <w:rPr>
        <w:rFonts w:ascii="Courier New" w:hAnsi="Courier New" w:hint="default"/>
        <w:color w:val="000000"/>
      </w:rPr>
    </w:lvl>
    <w:lvl w:ilvl="2" w:tplc="840AD954" w:tentative="1">
      <w:start w:val="1"/>
      <w:numFmt w:val="bullet"/>
      <w:lvlText w:val=""/>
      <w:lvlJc w:val="left"/>
      <w:pPr>
        <w:tabs>
          <w:tab w:val="num" w:pos="2160"/>
        </w:tabs>
        <w:ind w:left="2160" w:hanging="360"/>
      </w:pPr>
      <w:rPr>
        <w:rFonts w:ascii="Wingdings" w:hAnsi="Wingdings" w:hint="default"/>
        <w:color w:val="000000"/>
      </w:rPr>
    </w:lvl>
    <w:lvl w:ilvl="3" w:tplc="D6701EA6" w:tentative="1">
      <w:start w:val="1"/>
      <w:numFmt w:val="bullet"/>
      <w:lvlText w:val=""/>
      <w:lvlJc w:val="left"/>
      <w:pPr>
        <w:tabs>
          <w:tab w:val="num" w:pos="2880"/>
        </w:tabs>
        <w:ind w:left="2880" w:hanging="360"/>
      </w:pPr>
      <w:rPr>
        <w:rFonts w:ascii="Symbol" w:hAnsi="Symbol" w:hint="default"/>
        <w:color w:val="000000"/>
      </w:rPr>
    </w:lvl>
    <w:lvl w:ilvl="4" w:tplc="E40A01EA" w:tentative="1">
      <w:start w:val="1"/>
      <w:numFmt w:val="bullet"/>
      <w:lvlText w:val="o"/>
      <w:lvlJc w:val="left"/>
      <w:pPr>
        <w:tabs>
          <w:tab w:val="num" w:pos="3600"/>
        </w:tabs>
        <w:ind w:left="3600" w:hanging="360"/>
      </w:pPr>
      <w:rPr>
        <w:rFonts w:ascii="Courier New" w:hAnsi="Courier New" w:hint="default"/>
        <w:color w:val="000000"/>
      </w:rPr>
    </w:lvl>
    <w:lvl w:ilvl="5" w:tplc="75E2010E" w:tentative="1">
      <w:start w:val="1"/>
      <w:numFmt w:val="bullet"/>
      <w:lvlText w:val=""/>
      <w:lvlJc w:val="left"/>
      <w:pPr>
        <w:tabs>
          <w:tab w:val="num" w:pos="4320"/>
        </w:tabs>
        <w:ind w:left="4320" w:hanging="360"/>
      </w:pPr>
      <w:rPr>
        <w:rFonts w:ascii="Wingdings" w:hAnsi="Wingdings" w:hint="default"/>
        <w:color w:val="000000"/>
      </w:rPr>
    </w:lvl>
    <w:lvl w:ilvl="6" w:tplc="D2B05CB8" w:tentative="1">
      <w:start w:val="1"/>
      <w:numFmt w:val="bullet"/>
      <w:lvlText w:val=""/>
      <w:lvlJc w:val="left"/>
      <w:pPr>
        <w:tabs>
          <w:tab w:val="num" w:pos="5040"/>
        </w:tabs>
        <w:ind w:left="5040" w:hanging="360"/>
      </w:pPr>
      <w:rPr>
        <w:rFonts w:ascii="Symbol" w:hAnsi="Symbol" w:hint="default"/>
        <w:color w:val="000000"/>
      </w:rPr>
    </w:lvl>
    <w:lvl w:ilvl="7" w:tplc="9F26F582" w:tentative="1">
      <w:start w:val="1"/>
      <w:numFmt w:val="bullet"/>
      <w:lvlText w:val="o"/>
      <w:lvlJc w:val="left"/>
      <w:pPr>
        <w:tabs>
          <w:tab w:val="num" w:pos="5760"/>
        </w:tabs>
        <w:ind w:left="5760" w:hanging="360"/>
      </w:pPr>
      <w:rPr>
        <w:rFonts w:ascii="Courier New" w:hAnsi="Courier New" w:hint="default"/>
        <w:color w:val="000000"/>
      </w:rPr>
    </w:lvl>
    <w:lvl w:ilvl="8" w:tplc="299A7088" w:tentative="1">
      <w:start w:val="1"/>
      <w:numFmt w:val="bullet"/>
      <w:lvlText w:val=""/>
      <w:lvlJc w:val="left"/>
      <w:pPr>
        <w:tabs>
          <w:tab w:val="num" w:pos="6480"/>
        </w:tabs>
        <w:ind w:left="6480" w:hanging="360"/>
      </w:pPr>
      <w:rPr>
        <w:rFonts w:ascii="Wingdings" w:hAnsi="Wingdings" w:hint="default"/>
        <w:color w:val="000000"/>
      </w:rPr>
    </w:lvl>
  </w:abstractNum>
  <w:abstractNum w:abstractNumId="11" w15:restartNumberingAfterBreak="0">
    <w:nsid w:val="2EBF05FF"/>
    <w:multiLevelType w:val="hybridMultilevel"/>
    <w:tmpl w:val="5BD09DEA"/>
    <w:lvl w:ilvl="0" w:tplc="1409000F">
      <w:start w:val="1"/>
      <w:numFmt w:val="decimal"/>
      <w:lvlText w:val="%1."/>
      <w:lvlJc w:val="left"/>
      <w:pPr>
        <w:tabs>
          <w:tab w:val="num" w:pos="850"/>
        </w:tabs>
        <w:ind w:left="850" w:hanging="850"/>
      </w:pPr>
      <w:rPr>
        <w:rFonts w:hint="default"/>
        <w:color w:val="000000"/>
      </w:rPr>
    </w:lvl>
    <w:lvl w:ilvl="1" w:tplc="A58212C8" w:tentative="1">
      <w:start w:val="1"/>
      <w:numFmt w:val="bullet"/>
      <w:lvlText w:val="o"/>
      <w:lvlJc w:val="left"/>
      <w:pPr>
        <w:tabs>
          <w:tab w:val="num" w:pos="1440"/>
        </w:tabs>
        <w:ind w:left="1440" w:hanging="360"/>
      </w:pPr>
      <w:rPr>
        <w:rFonts w:ascii="Courier New" w:hAnsi="Courier New" w:hint="default"/>
        <w:color w:val="000000"/>
      </w:rPr>
    </w:lvl>
    <w:lvl w:ilvl="2" w:tplc="246A731E" w:tentative="1">
      <w:start w:val="1"/>
      <w:numFmt w:val="bullet"/>
      <w:lvlText w:val=""/>
      <w:lvlJc w:val="left"/>
      <w:pPr>
        <w:tabs>
          <w:tab w:val="num" w:pos="2160"/>
        </w:tabs>
        <w:ind w:left="2160" w:hanging="360"/>
      </w:pPr>
      <w:rPr>
        <w:rFonts w:ascii="Wingdings" w:hAnsi="Wingdings" w:hint="default"/>
        <w:color w:val="000000"/>
      </w:rPr>
    </w:lvl>
    <w:lvl w:ilvl="3" w:tplc="4914DD32" w:tentative="1">
      <w:start w:val="1"/>
      <w:numFmt w:val="bullet"/>
      <w:lvlText w:val=""/>
      <w:lvlJc w:val="left"/>
      <w:pPr>
        <w:tabs>
          <w:tab w:val="num" w:pos="2880"/>
        </w:tabs>
        <w:ind w:left="2880" w:hanging="360"/>
      </w:pPr>
      <w:rPr>
        <w:rFonts w:ascii="Symbol" w:hAnsi="Symbol" w:hint="default"/>
        <w:color w:val="000000"/>
      </w:rPr>
    </w:lvl>
    <w:lvl w:ilvl="4" w:tplc="CD8E3606" w:tentative="1">
      <w:start w:val="1"/>
      <w:numFmt w:val="bullet"/>
      <w:lvlText w:val="o"/>
      <w:lvlJc w:val="left"/>
      <w:pPr>
        <w:tabs>
          <w:tab w:val="num" w:pos="3600"/>
        </w:tabs>
        <w:ind w:left="3600" w:hanging="360"/>
      </w:pPr>
      <w:rPr>
        <w:rFonts w:ascii="Courier New" w:hAnsi="Courier New" w:hint="default"/>
        <w:color w:val="000000"/>
      </w:rPr>
    </w:lvl>
    <w:lvl w:ilvl="5" w:tplc="0DA4CD82" w:tentative="1">
      <w:start w:val="1"/>
      <w:numFmt w:val="bullet"/>
      <w:lvlText w:val=""/>
      <w:lvlJc w:val="left"/>
      <w:pPr>
        <w:tabs>
          <w:tab w:val="num" w:pos="4320"/>
        </w:tabs>
        <w:ind w:left="4320" w:hanging="360"/>
      </w:pPr>
      <w:rPr>
        <w:rFonts w:ascii="Wingdings" w:hAnsi="Wingdings" w:hint="default"/>
        <w:color w:val="000000"/>
      </w:rPr>
    </w:lvl>
    <w:lvl w:ilvl="6" w:tplc="FD1845EE" w:tentative="1">
      <w:start w:val="1"/>
      <w:numFmt w:val="bullet"/>
      <w:lvlText w:val=""/>
      <w:lvlJc w:val="left"/>
      <w:pPr>
        <w:tabs>
          <w:tab w:val="num" w:pos="5040"/>
        </w:tabs>
        <w:ind w:left="5040" w:hanging="360"/>
      </w:pPr>
      <w:rPr>
        <w:rFonts w:ascii="Symbol" w:hAnsi="Symbol" w:hint="default"/>
        <w:color w:val="000000"/>
      </w:rPr>
    </w:lvl>
    <w:lvl w:ilvl="7" w:tplc="D39A587E" w:tentative="1">
      <w:start w:val="1"/>
      <w:numFmt w:val="bullet"/>
      <w:lvlText w:val="o"/>
      <w:lvlJc w:val="left"/>
      <w:pPr>
        <w:tabs>
          <w:tab w:val="num" w:pos="5760"/>
        </w:tabs>
        <w:ind w:left="5760" w:hanging="360"/>
      </w:pPr>
      <w:rPr>
        <w:rFonts w:ascii="Courier New" w:hAnsi="Courier New" w:hint="default"/>
        <w:color w:val="000000"/>
      </w:rPr>
    </w:lvl>
    <w:lvl w:ilvl="8" w:tplc="EF426600" w:tentative="1">
      <w:start w:val="1"/>
      <w:numFmt w:val="bullet"/>
      <w:lvlText w:val=""/>
      <w:lvlJc w:val="left"/>
      <w:pPr>
        <w:tabs>
          <w:tab w:val="num" w:pos="6480"/>
        </w:tabs>
        <w:ind w:left="6480" w:hanging="360"/>
      </w:pPr>
      <w:rPr>
        <w:rFonts w:ascii="Wingdings" w:hAnsi="Wingdings" w:hint="default"/>
        <w:color w:val="000000"/>
      </w:rPr>
    </w:lvl>
  </w:abstractNum>
  <w:abstractNum w:abstractNumId="12" w15:restartNumberingAfterBreak="0">
    <w:nsid w:val="2F701C2B"/>
    <w:multiLevelType w:val="hybridMultilevel"/>
    <w:tmpl w:val="E7F401EE"/>
    <w:lvl w:ilvl="0" w:tplc="CDC0DA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017A9D"/>
    <w:multiLevelType w:val="hybridMultilevel"/>
    <w:tmpl w:val="3DA66C40"/>
    <w:lvl w:ilvl="0" w:tplc="CDC0DAA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7823B2E"/>
    <w:multiLevelType w:val="hybridMultilevel"/>
    <w:tmpl w:val="3AD0BB56"/>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bullet"/>
      <w:lvlText w:val="o"/>
      <w:lvlJc w:val="left"/>
      <w:pPr>
        <w:tabs>
          <w:tab w:val="num" w:pos="1440"/>
        </w:tabs>
        <w:ind w:left="1440" w:hanging="360"/>
      </w:pPr>
      <w:rPr>
        <w:rFonts w:ascii="Courier New" w:hAnsi="Courier New" w:hint="default"/>
        <w:color w:val="000000"/>
      </w:rPr>
    </w:lvl>
    <w:lvl w:ilvl="2" w:tplc="5A48D92C" w:tentative="1">
      <w:start w:val="1"/>
      <w:numFmt w:val="bullet"/>
      <w:lvlText w:val=""/>
      <w:lvlJc w:val="left"/>
      <w:pPr>
        <w:tabs>
          <w:tab w:val="num" w:pos="2160"/>
        </w:tabs>
        <w:ind w:left="2160" w:hanging="360"/>
      </w:pPr>
      <w:rPr>
        <w:rFonts w:ascii="Wingdings" w:hAnsi="Wingdings" w:hint="default"/>
        <w:color w:val="000000"/>
      </w:rPr>
    </w:lvl>
    <w:lvl w:ilvl="3" w:tplc="48C62AB8" w:tentative="1">
      <w:start w:val="1"/>
      <w:numFmt w:val="bullet"/>
      <w:lvlText w:val=""/>
      <w:lvlJc w:val="left"/>
      <w:pPr>
        <w:tabs>
          <w:tab w:val="num" w:pos="2880"/>
        </w:tabs>
        <w:ind w:left="2880" w:hanging="360"/>
      </w:pPr>
      <w:rPr>
        <w:rFonts w:ascii="Symbol" w:hAnsi="Symbol" w:hint="default"/>
        <w:color w:val="000000"/>
      </w:rPr>
    </w:lvl>
    <w:lvl w:ilvl="4" w:tplc="7B4812EC" w:tentative="1">
      <w:start w:val="1"/>
      <w:numFmt w:val="bullet"/>
      <w:lvlText w:val="o"/>
      <w:lvlJc w:val="left"/>
      <w:pPr>
        <w:tabs>
          <w:tab w:val="num" w:pos="3600"/>
        </w:tabs>
        <w:ind w:left="3600" w:hanging="360"/>
      </w:pPr>
      <w:rPr>
        <w:rFonts w:ascii="Courier New" w:hAnsi="Courier New" w:hint="default"/>
        <w:color w:val="000000"/>
      </w:rPr>
    </w:lvl>
    <w:lvl w:ilvl="5" w:tplc="4E8231E2" w:tentative="1">
      <w:start w:val="1"/>
      <w:numFmt w:val="bullet"/>
      <w:lvlText w:val=""/>
      <w:lvlJc w:val="left"/>
      <w:pPr>
        <w:tabs>
          <w:tab w:val="num" w:pos="4320"/>
        </w:tabs>
        <w:ind w:left="4320" w:hanging="360"/>
      </w:pPr>
      <w:rPr>
        <w:rFonts w:ascii="Wingdings" w:hAnsi="Wingdings" w:hint="default"/>
        <w:color w:val="000000"/>
      </w:rPr>
    </w:lvl>
    <w:lvl w:ilvl="6" w:tplc="AC4A45A2" w:tentative="1">
      <w:start w:val="1"/>
      <w:numFmt w:val="bullet"/>
      <w:lvlText w:val=""/>
      <w:lvlJc w:val="left"/>
      <w:pPr>
        <w:tabs>
          <w:tab w:val="num" w:pos="5040"/>
        </w:tabs>
        <w:ind w:left="5040" w:hanging="360"/>
      </w:pPr>
      <w:rPr>
        <w:rFonts w:ascii="Symbol" w:hAnsi="Symbol" w:hint="default"/>
        <w:color w:val="000000"/>
      </w:rPr>
    </w:lvl>
    <w:lvl w:ilvl="7" w:tplc="5DF63100" w:tentative="1">
      <w:start w:val="1"/>
      <w:numFmt w:val="bullet"/>
      <w:lvlText w:val="o"/>
      <w:lvlJc w:val="left"/>
      <w:pPr>
        <w:tabs>
          <w:tab w:val="num" w:pos="5760"/>
        </w:tabs>
        <w:ind w:left="5760" w:hanging="360"/>
      </w:pPr>
      <w:rPr>
        <w:rFonts w:ascii="Courier New" w:hAnsi="Courier New" w:hint="default"/>
        <w:color w:val="000000"/>
      </w:rPr>
    </w:lvl>
    <w:lvl w:ilvl="8" w:tplc="B100DA74" w:tentative="1">
      <w:start w:val="1"/>
      <w:numFmt w:val="bullet"/>
      <w:lvlText w:val=""/>
      <w:lvlJc w:val="left"/>
      <w:pPr>
        <w:tabs>
          <w:tab w:val="num" w:pos="6480"/>
        </w:tabs>
        <w:ind w:left="6480" w:hanging="360"/>
      </w:pPr>
      <w:rPr>
        <w:rFonts w:ascii="Wingdings" w:hAnsi="Wingdings" w:hint="default"/>
        <w:color w:val="000000"/>
      </w:rPr>
    </w:lvl>
  </w:abstractNum>
  <w:abstractNum w:abstractNumId="15" w15:restartNumberingAfterBreak="0">
    <w:nsid w:val="37EB7B8C"/>
    <w:multiLevelType w:val="hybridMultilevel"/>
    <w:tmpl w:val="3DA66C40"/>
    <w:lvl w:ilvl="0" w:tplc="CDC0DAA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1E413A1"/>
    <w:multiLevelType w:val="hybridMultilevel"/>
    <w:tmpl w:val="79DA2354"/>
    <w:lvl w:ilvl="0" w:tplc="4C8CED1A">
      <w:start w:val="1"/>
      <w:numFmt w:val="bullet"/>
      <w:lvlText w:val=""/>
      <w:lvlJc w:val="left"/>
      <w:pPr>
        <w:tabs>
          <w:tab w:val="num" w:pos="850"/>
        </w:tabs>
        <w:ind w:left="850" w:hanging="850"/>
      </w:pPr>
      <w:rPr>
        <w:rFonts w:ascii="Symbol" w:hAnsi="Symbol" w:hint="default"/>
        <w:color w:val="000000"/>
      </w:rPr>
    </w:lvl>
    <w:lvl w:ilvl="1" w:tplc="41B083D2" w:tentative="1">
      <w:start w:val="1"/>
      <w:numFmt w:val="lowerLetter"/>
      <w:lvlText w:val="%2."/>
      <w:lvlJc w:val="left"/>
      <w:pPr>
        <w:tabs>
          <w:tab w:val="num" w:pos="450"/>
        </w:tabs>
        <w:ind w:left="450" w:hanging="360"/>
      </w:pPr>
      <w:rPr>
        <w:color w:val="000000"/>
      </w:rPr>
    </w:lvl>
    <w:lvl w:ilvl="2" w:tplc="DDB4EA6E" w:tentative="1">
      <w:start w:val="1"/>
      <w:numFmt w:val="lowerRoman"/>
      <w:lvlText w:val="%3."/>
      <w:lvlJc w:val="right"/>
      <w:pPr>
        <w:tabs>
          <w:tab w:val="num" w:pos="1170"/>
        </w:tabs>
        <w:ind w:left="1170" w:hanging="180"/>
      </w:pPr>
      <w:rPr>
        <w:color w:val="000000"/>
      </w:rPr>
    </w:lvl>
    <w:lvl w:ilvl="3" w:tplc="29809B5E" w:tentative="1">
      <w:start w:val="1"/>
      <w:numFmt w:val="decimal"/>
      <w:lvlText w:val="%4."/>
      <w:lvlJc w:val="left"/>
      <w:pPr>
        <w:tabs>
          <w:tab w:val="num" w:pos="1890"/>
        </w:tabs>
        <w:ind w:left="1890" w:hanging="360"/>
      </w:pPr>
      <w:rPr>
        <w:color w:val="000000"/>
      </w:rPr>
    </w:lvl>
    <w:lvl w:ilvl="4" w:tplc="EBA6C760" w:tentative="1">
      <w:start w:val="1"/>
      <w:numFmt w:val="lowerLetter"/>
      <w:lvlText w:val="%5."/>
      <w:lvlJc w:val="left"/>
      <w:pPr>
        <w:tabs>
          <w:tab w:val="num" w:pos="2610"/>
        </w:tabs>
        <w:ind w:left="2610" w:hanging="360"/>
      </w:pPr>
      <w:rPr>
        <w:color w:val="000000"/>
      </w:rPr>
    </w:lvl>
    <w:lvl w:ilvl="5" w:tplc="34528038" w:tentative="1">
      <w:start w:val="1"/>
      <w:numFmt w:val="lowerRoman"/>
      <w:lvlText w:val="%6."/>
      <w:lvlJc w:val="right"/>
      <w:pPr>
        <w:tabs>
          <w:tab w:val="num" w:pos="3330"/>
        </w:tabs>
        <w:ind w:left="3330" w:hanging="180"/>
      </w:pPr>
      <w:rPr>
        <w:color w:val="000000"/>
      </w:rPr>
    </w:lvl>
    <w:lvl w:ilvl="6" w:tplc="2CE232B2" w:tentative="1">
      <w:start w:val="1"/>
      <w:numFmt w:val="decimal"/>
      <w:lvlText w:val="%7."/>
      <w:lvlJc w:val="left"/>
      <w:pPr>
        <w:tabs>
          <w:tab w:val="num" w:pos="4050"/>
        </w:tabs>
        <w:ind w:left="4050" w:hanging="360"/>
      </w:pPr>
      <w:rPr>
        <w:color w:val="000000"/>
      </w:rPr>
    </w:lvl>
    <w:lvl w:ilvl="7" w:tplc="2A741F06" w:tentative="1">
      <w:start w:val="1"/>
      <w:numFmt w:val="lowerLetter"/>
      <w:lvlText w:val="%8."/>
      <w:lvlJc w:val="left"/>
      <w:pPr>
        <w:tabs>
          <w:tab w:val="num" w:pos="4770"/>
        </w:tabs>
        <w:ind w:left="4770" w:hanging="360"/>
      </w:pPr>
      <w:rPr>
        <w:color w:val="000000"/>
      </w:rPr>
    </w:lvl>
    <w:lvl w:ilvl="8" w:tplc="CCEE42C4" w:tentative="1">
      <w:start w:val="1"/>
      <w:numFmt w:val="lowerRoman"/>
      <w:lvlText w:val="%9."/>
      <w:lvlJc w:val="right"/>
      <w:pPr>
        <w:tabs>
          <w:tab w:val="num" w:pos="5490"/>
        </w:tabs>
        <w:ind w:left="5490" w:hanging="180"/>
      </w:pPr>
      <w:rPr>
        <w:color w:val="000000"/>
      </w:rPr>
    </w:lvl>
  </w:abstractNum>
  <w:abstractNum w:abstractNumId="17" w15:restartNumberingAfterBreak="0">
    <w:nsid w:val="42D92EB7"/>
    <w:multiLevelType w:val="hybridMultilevel"/>
    <w:tmpl w:val="137CEAA0"/>
    <w:lvl w:ilvl="0" w:tplc="C45CA516">
      <w:start w:val="1"/>
      <w:numFmt w:val="lowerLetter"/>
      <w:lvlText w:val="(%1)"/>
      <w:lvlJc w:val="left"/>
      <w:pPr>
        <w:ind w:left="360" w:hanging="360"/>
      </w:pPr>
      <w:rPr>
        <w:rFonts w:hint="default"/>
        <w: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4BA6427"/>
    <w:multiLevelType w:val="hybridMultilevel"/>
    <w:tmpl w:val="107260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6EA4174"/>
    <w:multiLevelType w:val="hybridMultilevel"/>
    <w:tmpl w:val="A08228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AE905CA"/>
    <w:multiLevelType w:val="hybridMultilevel"/>
    <w:tmpl w:val="8CA41942"/>
    <w:lvl w:ilvl="0" w:tplc="0AFCA29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AF42688"/>
    <w:multiLevelType w:val="hybridMultilevel"/>
    <w:tmpl w:val="B686C8DE"/>
    <w:lvl w:ilvl="0" w:tplc="4C8CED1A">
      <w:start w:val="1"/>
      <w:numFmt w:val="bullet"/>
      <w:lvlText w:val=""/>
      <w:lvlJc w:val="left"/>
      <w:pPr>
        <w:tabs>
          <w:tab w:val="num" w:pos="850"/>
        </w:tabs>
        <w:ind w:left="850" w:hanging="850"/>
      </w:pPr>
      <w:rPr>
        <w:rFonts w:ascii="Symbol" w:hAnsi="Symbol" w:hint="default"/>
        <w:color w:val="000000"/>
      </w:rPr>
    </w:lvl>
    <w:lvl w:ilvl="1" w:tplc="FDA415A0" w:tentative="1">
      <w:start w:val="1"/>
      <w:numFmt w:val="lowerLetter"/>
      <w:lvlText w:val="%2."/>
      <w:lvlJc w:val="left"/>
      <w:pPr>
        <w:tabs>
          <w:tab w:val="num" w:pos="450"/>
        </w:tabs>
        <w:ind w:left="450" w:hanging="360"/>
      </w:pPr>
      <w:rPr>
        <w:color w:val="000000"/>
      </w:rPr>
    </w:lvl>
    <w:lvl w:ilvl="2" w:tplc="64408462" w:tentative="1">
      <w:start w:val="1"/>
      <w:numFmt w:val="lowerRoman"/>
      <w:lvlText w:val="%3."/>
      <w:lvlJc w:val="right"/>
      <w:pPr>
        <w:tabs>
          <w:tab w:val="num" w:pos="1170"/>
        </w:tabs>
        <w:ind w:left="1170" w:hanging="180"/>
      </w:pPr>
      <w:rPr>
        <w:color w:val="000000"/>
      </w:rPr>
    </w:lvl>
    <w:lvl w:ilvl="3" w:tplc="C256F58E" w:tentative="1">
      <w:start w:val="1"/>
      <w:numFmt w:val="decimal"/>
      <w:lvlText w:val="%4."/>
      <w:lvlJc w:val="left"/>
      <w:pPr>
        <w:tabs>
          <w:tab w:val="num" w:pos="1890"/>
        </w:tabs>
        <w:ind w:left="1890" w:hanging="360"/>
      </w:pPr>
      <w:rPr>
        <w:color w:val="000000"/>
      </w:rPr>
    </w:lvl>
    <w:lvl w:ilvl="4" w:tplc="95DCA8C4" w:tentative="1">
      <w:start w:val="1"/>
      <w:numFmt w:val="lowerLetter"/>
      <w:lvlText w:val="%5."/>
      <w:lvlJc w:val="left"/>
      <w:pPr>
        <w:tabs>
          <w:tab w:val="num" w:pos="2610"/>
        </w:tabs>
        <w:ind w:left="2610" w:hanging="360"/>
      </w:pPr>
      <w:rPr>
        <w:color w:val="000000"/>
      </w:rPr>
    </w:lvl>
    <w:lvl w:ilvl="5" w:tplc="4DF646FA" w:tentative="1">
      <w:start w:val="1"/>
      <w:numFmt w:val="lowerRoman"/>
      <w:lvlText w:val="%6."/>
      <w:lvlJc w:val="right"/>
      <w:pPr>
        <w:tabs>
          <w:tab w:val="num" w:pos="3330"/>
        </w:tabs>
        <w:ind w:left="3330" w:hanging="180"/>
      </w:pPr>
      <w:rPr>
        <w:color w:val="000000"/>
      </w:rPr>
    </w:lvl>
    <w:lvl w:ilvl="6" w:tplc="3C0AB86E" w:tentative="1">
      <w:start w:val="1"/>
      <w:numFmt w:val="decimal"/>
      <w:lvlText w:val="%7."/>
      <w:lvlJc w:val="left"/>
      <w:pPr>
        <w:tabs>
          <w:tab w:val="num" w:pos="4050"/>
        </w:tabs>
        <w:ind w:left="4050" w:hanging="360"/>
      </w:pPr>
      <w:rPr>
        <w:color w:val="000000"/>
      </w:rPr>
    </w:lvl>
    <w:lvl w:ilvl="7" w:tplc="6D20E054" w:tentative="1">
      <w:start w:val="1"/>
      <w:numFmt w:val="lowerLetter"/>
      <w:lvlText w:val="%8."/>
      <w:lvlJc w:val="left"/>
      <w:pPr>
        <w:tabs>
          <w:tab w:val="num" w:pos="4770"/>
        </w:tabs>
        <w:ind w:left="4770" w:hanging="360"/>
      </w:pPr>
      <w:rPr>
        <w:color w:val="000000"/>
      </w:rPr>
    </w:lvl>
    <w:lvl w:ilvl="8" w:tplc="C6E2405A" w:tentative="1">
      <w:start w:val="1"/>
      <w:numFmt w:val="lowerRoman"/>
      <w:lvlText w:val="%9."/>
      <w:lvlJc w:val="right"/>
      <w:pPr>
        <w:tabs>
          <w:tab w:val="num" w:pos="5490"/>
        </w:tabs>
        <w:ind w:left="5490" w:hanging="180"/>
      </w:pPr>
      <w:rPr>
        <w:color w:val="000000"/>
      </w:rPr>
    </w:lvl>
  </w:abstractNum>
  <w:abstractNum w:abstractNumId="22" w15:restartNumberingAfterBreak="0">
    <w:nsid w:val="51672B27"/>
    <w:multiLevelType w:val="hybridMultilevel"/>
    <w:tmpl w:val="49F8151A"/>
    <w:lvl w:ilvl="0" w:tplc="4C8CED1A">
      <w:start w:val="1"/>
      <w:numFmt w:val="bullet"/>
      <w:lvlText w:val=""/>
      <w:lvlJc w:val="left"/>
      <w:pPr>
        <w:tabs>
          <w:tab w:val="num" w:pos="850"/>
        </w:tabs>
        <w:ind w:left="850" w:hanging="850"/>
      </w:pPr>
      <w:rPr>
        <w:rFonts w:ascii="Symbol" w:hAnsi="Symbol" w:hint="default"/>
        <w:color w:val="000000"/>
      </w:rPr>
    </w:lvl>
    <w:lvl w:ilvl="1" w:tplc="41B083D2" w:tentative="1">
      <w:start w:val="1"/>
      <w:numFmt w:val="lowerLetter"/>
      <w:lvlText w:val="%2."/>
      <w:lvlJc w:val="left"/>
      <w:pPr>
        <w:tabs>
          <w:tab w:val="num" w:pos="450"/>
        </w:tabs>
        <w:ind w:left="450" w:hanging="360"/>
      </w:pPr>
      <w:rPr>
        <w:color w:val="000000"/>
      </w:rPr>
    </w:lvl>
    <w:lvl w:ilvl="2" w:tplc="DDB4EA6E" w:tentative="1">
      <w:start w:val="1"/>
      <w:numFmt w:val="lowerRoman"/>
      <w:lvlText w:val="%3."/>
      <w:lvlJc w:val="right"/>
      <w:pPr>
        <w:tabs>
          <w:tab w:val="num" w:pos="1170"/>
        </w:tabs>
        <w:ind w:left="1170" w:hanging="180"/>
      </w:pPr>
      <w:rPr>
        <w:color w:val="000000"/>
      </w:rPr>
    </w:lvl>
    <w:lvl w:ilvl="3" w:tplc="29809B5E" w:tentative="1">
      <w:start w:val="1"/>
      <w:numFmt w:val="decimal"/>
      <w:lvlText w:val="%4."/>
      <w:lvlJc w:val="left"/>
      <w:pPr>
        <w:tabs>
          <w:tab w:val="num" w:pos="1890"/>
        </w:tabs>
        <w:ind w:left="1890" w:hanging="360"/>
      </w:pPr>
      <w:rPr>
        <w:color w:val="000000"/>
      </w:rPr>
    </w:lvl>
    <w:lvl w:ilvl="4" w:tplc="EBA6C760" w:tentative="1">
      <w:start w:val="1"/>
      <w:numFmt w:val="lowerLetter"/>
      <w:lvlText w:val="%5."/>
      <w:lvlJc w:val="left"/>
      <w:pPr>
        <w:tabs>
          <w:tab w:val="num" w:pos="2610"/>
        </w:tabs>
        <w:ind w:left="2610" w:hanging="360"/>
      </w:pPr>
      <w:rPr>
        <w:color w:val="000000"/>
      </w:rPr>
    </w:lvl>
    <w:lvl w:ilvl="5" w:tplc="34528038" w:tentative="1">
      <w:start w:val="1"/>
      <w:numFmt w:val="lowerRoman"/>
      <w:lvlText w:val="%6."/>
      <w:lvlJc w:val="right"/>
      <w:pPr>
        <w:tabs>
          <w:tab w:val="num" w:pos="3330"/>
        </w:tabs>
        <w:ind w:left="3330" w:hanging="180"/>
      </w:pPr>
      <w:rPr>
        <w:color w:val="000000"/>
      </w:rPr>
    </w:lvl>
    <w:lvl w:ilvl="6" w:tplc="2CE232B2" w:tentative="1">
      <w:start w:val="1"/>
      <w:numFmt w:val="decimal"/>
      <w:lvlText w:val="%7."/>
      <w:lvlJc w:val="left"/>
      <w:pPr>
        <w:tabs>
          <w:tab w:val="num" w:pos="4050"/>
        </w:tabs>
        <w:ind w:left="4050" w:hanging="360"/>
      </w:pPr>
      <w:rPr>
        <w:color w:val="000000"/>
      </w:rPr>
    </w:lvl>
    <w:lvl w:ilvl="7" w:tplc="2A741F06" w:tentative="1">
      <w:start w:val="1"/>
      <w:numFmt w:val="lowerLetter"/>
      <w:lvlText w:val="%8."/>
      <w:lvlJc w:val="left"/>
      <w:pPr>
        <w:tabs>
          <w:tab w:val="num" w:pos="4770"/>
        </w:tabs>
        <w:ind w:left="4770" w:hanging="360"/>
      </w:pPr>
      <w:rPr>
        <w:color w:val="000000"/>
      </w:rPr>
    </w:lvl>
    <w:lvl w:ilvl="8" w:tplc="CCEE42C4" w:tentative="1">
      <w:start w:val="1"/>
      <w:numFmt w:val="lowerRoman"/>
      <w:lvlText w:val="%9."/>
      <w:lvlJc w:val="right"/>
      <w:pPr>
        <w:tabs>
          <w:tab w:val="num" w:pos="5490"/>
        </w:tabs>
        <w:ind w:left="5490" w:hanging="180"/>
      </w:pPr>
      <w:rPr>
        <w:color w:val="000000"/>
      </w:rPr>
    </w:lvl>
  </w:abstractNum>
  <w:abstractNum w:abstractNumId="23" w15:restartNumberingAfterBreak="0">
    <w:nsid w:val="55C47C49"/>
    <w:multiLevelType w:val="hybridMultilevel"/>
    <w:tmpl w:val="C074B8CE"/>
    <w:lvl w:ilvl="0" w:tplc="4C8CED1A">
      <w:start w:val="1"/>
      <w:numFmt w:val="bullet"/>
      <w:lvlText w:val=""/>
      <w:lvlJc w:val="left"/>
      <w:pPr>
        <w:tabs>
          <w:tab w:val="num" w:pos="850"/>
        </w:tabs>
        <w:ind w:left="850" w:hanging="850"/>
      </w:pPr>
      <w:rPr>
        <w:rFonts w:ascii="Symbol" w:hAnsi="Symbol" w:hint="default"/>
        <w:color w:val="000000"/>
      </w:rPr>
    </w:lvl>
    <w:lvl w:ilvl="1" w:tplc="5C441076" w:tentative="1">
      <w:start w:val="1"/>
      <w:numFmt w:val="lowerLetter"/>
      <w:lvlText w:val="%2."/>
      <w:lvlJc w:val="left"/>
      <w:pPr>
        <w:tabs>
          <w:tab w:val="num" w:pos="450"/>
        </w:tabs>
        <w:ind w:left="450" w:hanging="360"/>
      </w:pPr>
      <w:rPr>
        <w:color w:val="000000"/>
      </w:rPr>
    </w:lvl>
    <w:lvl w:ilvl="2" w:tplc="8D3A67BA" w:tentative="1">
      <w:start w:val="1"/>
      <w:numFmt w:val="lowerRoman"/>
      <w:lvlText w:val="%3."/>
      <w:lvlJc w:val="right"/>
      <w:pPr>
        <w:tabs>
          <w:tab w:val="num" w:pos="1170"/>
        </w:tabs>
        <w:ind w:left="1170" w:hanging="180"/>
      </w:pPr>
      <w:rPr>
        <w:color w:val="000000"/>
      </w:rPr>
    </w:lvl>
    <w:lvl w:ilvl="3" w:tplc="FCCCE454" w:tentative="1">
      <w:start w:val="1"/>
      <w:numFmt w:val="decimal"/>
      <w:lvlText w:val="%4."/>
      <w:lvlJc w:val="left"/>
      <w:pPr>
        <w:tabs>
          <w:tab w:val="num" w:pos="1890"/>
        </w:tabs>
        <w:ind w:left="1890" w:hanging="360"/>
      </w:pPr>
      <w:rPr>
        <w:color w:val="000000"/>
      </w:rPr>
    </w:lvl>
    <w:lvl w:ilvl="4" w:tplc="FA6A6D0C" w:tentative="1">
      <w:start w:val="1"/>
      <w:numFmt w:val="lowerLetter"/>
      <w:lvlText w:val="%5."/>
      <w:lvlJc w:val="left"/>
      <w:pPr>
        <w:tabs>
          <w:tab w:val="num" w:pos="2610"/>
        </w:tabs>
        <w:ind w:left="2610" w:hanging="360"/>
      </w:pPr>
      <w:rPr>
        <w:color w:val="000000"/>
      </w:rPr>
    </w:lvl>
    <w:lvl w:ilvl="5" w:tplc="8E8E7752" w:tentative="1">
      <w:start w:val="1"/>
      <w:numFmt w:val="lowerRoman"/>
      <w:lvlText w:val="%6."/>
      <w:lvlJc w:val="right"/>
      <w:pPr>
        <w:tabs>
          <w:tab w:val="num" w:pos="3330"/>
        </w:tabs>
        <w:ind w:left="3330" w:hanging="180"/>
      </w:pPr>
      <w:rPr>
        <w:color w:val="000000"/>
      </w:rPr>
    </w:lvl>
    <w:lvl w:ilvl="6" w:tplc="F0F45C90" w:tentative="1">
      <w:start w:val="1"/>
      <w:numFmt w:val="decimal"/>
      <w:lvlText w:val="%7."/>
      <w:lvlJc w:val="left"/>
      <w:pPr>
        <w:tabs>
          <w:tab w:val="num" w:pos="4050"/>
        </w:tabs>
        <w:ind w:left="4050" w:hanging="360"/>
      </w:pPr>
      <w:rPr>
        <w:color w:val="000000"/>
      </w:rPr>
    </w:lvl>
    <w:lvl w:ilvl="7" w:tplc="A6DE3D30" w:tentative="1">
      <w:start w:val="1"/>
      <w:numFmt w:val="lowerLetter"/>
      <w:lvlText w:val="%8."/>
      <w:lvlJc w:val="left"/>
      <w:pPr>
        <w:tabs>
          <w:tab w:val="num" w:pos="4770"/>
        </w:tabs>
        <w:ind w:left="4770" w:hanging="360"/>
      </w:pPr>
      <w:rPr>
        <w:color w:val="000000"/>
      </w:rPr>
    </w:lvl>
    <w:lvl w:ilvl="8" w:tplc="9F040226" w:tentative="1">
      <w:start w:val="1"/>
      <w:numFmt w:val="lowerRoman"/>
      <w:lvlText w:val="%9."/>
      <w:lvlJc w:val="right"/>
      <w:pPr>
        <w:tabs>
          <w:tab w:val="num" w:pos="5490"/>
        </w:tabs>
        <w:ind w:left="5490" w:hanging="180"/>
      </w:pPr>
      <w:rPr>
        <w:color w:val="000000"/>
      </w:rPr>
    </w:lvl>
  </w:abstractNum>
  <w:abstractNum w:abstractNumId="24" w15:restartNumberingAfterBreak="0">
    <w:nsid w:val="58241F4F"/>
    <w:multiLevelType w:val="hybridMultilevel"/>
    <w:tmpl w:val="37B8F8AE"/>
    <w:lvl w:ilvl="0" w:tplc="4C8CED1A">
      <w:start w:val="1"/>
      <w:numFmt w:val="bullet"/>
      <w:lvlText w:val=""/>
      <w:lvlJc w:val="left"/>
      <w:pPr>
        <w:tabs>
          <w:tab w:val="num" w:pos="850"/>
        </w:tabs>
        <w:ind w:left="850" w:hanging="850"/>
      </w:pPr>
      <w:rPr>
        <w:rFonts w:ascii="Symbol" w:hAnsi="Symbol" w:hint="default"/>
        <w:color w:val="000000"/>
      </w:rPr>
    </w:lvl>
    <w:lvl w:ilvl="1" w:tplc="A58212C8" w:tentative="1">
      <w:start w:val="1"/>
      <w:numFmt w:val="bullet"/>
      <w:lvlText w:val="o"/>
      <w:lvlJc w:val="left"/>
      <w:pPr>
        <w:tabs>
          <w:tab w:val="num" w:pos="1440"/>
        </w:tabs>
        <w:ind w:left="1440" w:hanging="360"/>
      </w:pPr>
      <w:rPr>
        <w:rFonts w:ascii="Courier New" w:hAnsi="Courier New" w:hint="default"/>
        <w:color w:val="000000"/>
      </w:rPr>
    </w:lvl>
    <w:lvl w:ilvl="2" w:tplc="246A731E" w:tentative="1">
      <w:start w:val="1"/>
      <w:numFmt w:val="bullet"/>
      <w:lvlText w:val=""/>
      <w:lvlJc w:val="left"/>
      <w:pPr>
        <w:tabs>
          <w:tab w:val="num" w:pos="2160"/>
        </w:tabs>
        <w:ind w:left="2160" w:hanging="360"/>
      </w:pPr>
      <w:rPr>
        <w:rFonts w:ascii="Wingdings" w:hAnsi="Wingdings" w:hint="default"/>
        <w:color w:val="000000"/>
      </w:rPr>
    </w:lvl>
    <w:lvl w:ilvl="3" w:tplc="4914DD32" w:tentative="1">
      <w:start w:val="1"/>
      <w:numFmt w:val="bullet"/>
      <w:lvlText w:val=""/>
      <w:lvlJc w:val="left"/>
      <w:pPr>
        <w:tabs>
          <w:tab w:val="num" w:pos="2880"/>
        </w:tabs>
        <w:ind w:left="2880" w:hanging="360"/>
      </w:pPr>
      <w:rPr>
        <w:rFonts w:ascii="Symbol" w:hAnsi="Symbol" w:hint="default"/>
        <w:color w:val="000000"/>
      </w:rPr>
    </w:lvl>
    <w:lvl w:ilvl="4" w:tplc="CD8E3606" w:tentative="1">
      <w:start w:val="1"/>
      <w:numFmt w:val="bullet"/>
      <w:lvlText w:val="o"/>
      <w:lvlJc w:val="left"/>
      <w:pPr>
        <w:tabs>
          <w:tab w:val="num" w:pos="3600"/>
        </w:tabs>
        <w:ind w:left="3600" w:hanging="360"/>
      </w:pPr>
      <w:rPr>
        <w:rFonts w:ascii="Courier New" w:hAnsi="Courier New" w:hint="default"/>
        <w:color w:val="000000"/>
      </w:rPr>
    </w:lvl>
    <w:lvl w:ilvl="5" w:tplc="0DA4CD82" w:tentative="1">
      <w:start w:val="1"/>
      <w:numFmt w:val="bullet"/>
      <w:lvlText w:val=""/>
      <w:lvlJc w:val="left"/>
      <w:pPr>
        <w:tabs>
          <w:tab w:val="num" w:pos="4320"/>
        </w:tabs>
        <w:ind w:left="4320" w:hanging="360"/>
      </w:pPr>
      <w:rPr>
        <w:rFonts w:ascii="Wingdings" w:hAnsi="Wingdings" w:hint="default"/>
        <w:color w:val="000000"/>
      </w:rPr>
    </w:lvl>
    <w:lvl w:ilvl="6" w:tplc="FD1845EE" w:tentative="1">
      <w:start w:val="1"/>
      <w:numFmt w:val="bullet"/>
      <w:lvlText w:val=""/>
      <w:lvlJc w:val="left"/>
      <w:pPr>
        <w:tabs>
          <w:tab w:val="num" w:pos="5040"/>
        </w:tabs>
        <w:ind w:left="5040" w:hanging="360"/>
      </w:pPr>
      <w:rPr>
        <w:rFonts w:ascii="Symbol" w:hAnsi="Symbol" w:hint="default"/>
        <w:color w:val="000000"/>
      </w:rPr>
    </w:lvl>
    <w:lvl w:ilvl="7" w:tplc="D39A587E" w:tentative="1">
      <w:start w:val="1"/>
      <w:numFmt w:val="bullet"/>
      <w:lvlText w:val="o"/>
      <w:lvlJc w:val="left"/>
      <w:pPr>
        <w:tabs>
          <w:tab w:val="num" w:pos="5760"/>
        </w:tabs>
        <w:ind w:left="5760" w:hanging="360"/>
      </w:pPr>
      <w:rPr>
        <w:rFonts w:ascii="Courier New" w:hAnsi="Courier New" w:hint="default"/>
        <w:color w:val="000000"/>
      </w:rPr>
    </w:lvl>
    <w:lvl w:ilvl="8" w:tplc="EF426600" w:tentative="1">
      <w:start w:val="1"/>
      <w:numFmt w:val="bullet"/>
      <w:lvlText w:val=""/>
      <w:lvlJc w:val="left"/>
      <w:pPr>
        <w:tabs>
          <w:tab w:val="num" w:pos="6480"/>
        </w:tabs>
        <w:ind w:left="6480" w:hanging="360"/>
      </w:pPr>
      <w:rPr>
        <w:rFonts w:ascii="Wingdings" w:hAnsi="Wingdings" w:hint="default"/>
        <w:color w:val="000000"/>
      </w:rPr>
    </w:lvl>
  </w:abstractNum>
  <w:abstractNum w:abstractNumId="25" w15:restartNumberingAfterBreak="0">
    <w:nsid w:val="5B3B25A9"/>
    <w:multiLevelType w:val="hybridMultilevel"/>
    <w:tmpl w:val="A5D8BD58"/>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bullet"/>
      <w:lvlText w:val="o"/>
      <w:lvlJc w:val="left"/>
      <w:pPr>
        <w:tabs>
          <w:tab w:val="num" w:pos="1440"/>
        </w:tabs>
        <w:ind w:left="1440" w:hanging="360"/>
      </w:pPr>
      <w:rPr>
        <w:rFonts w:ascii="Courier New" w:hAnsi="Courier New" w:hint="default"/>
        <w:color w:val="000000"/>
      </w:rPr>
    </w:lvl>
    <w:lvl w:ilvl="2" w:tplc="5A48D92C" w:tentative="1">
      <w:start w:val="1"/>
      <w:numFmt w:val="bullet"/>
      <w:lvlText w:val=""/>
      <w:lvlJc w:val="left"/>
      <w:pPr>
        <w:tabs>
          <w:tab w:val="num" w:pos="2160"/>
        </w:tabs>
        <w:ind w:left="2160" w:hanging="360"/>
      </w:pPr>
      <w:rPr>
        <w:rFonts w:ascii="Wingdings" w:hAnsi="Wingdings" w:hint="default"/>
        <w:color w:val="000000"/>
      </w:rPr>
    </w:lvl>
    <w:lvl w:ilvl="3" w:tplc="48C62AB8" w:tentative="1">
      <w:start w:val="1"/>
      <w:numFmt w:val="bullet"/>
      <w:lvlText w:val=""/>
      <w:lvlJc w:val="left"/>
      <w:pPr>
        <w:tabs>
          <w:tab w:val="num" w:pos="2880"/>
        </w:tabs>
        <w:ind w:left="2880" w:hanging="360"/>
      </w:pPr>
      <w:rPr>
        <w:rFonts w:ascii="Symbol" w:hAnsi="Symbol" w:hint="default"/>
        <w:color w:val="000000"/>
      </w:rPr>
    </w:lvl>
    <w:lvl w:ilvl="4" w:tplc="7B4812EC" w:tentative="1">
      <w:start w:val="1"/>
      <w:numFmt w:val="bullet"/>
      <w:lvlText w:val="o"/>
      <w:lvlJc w:val="left"/>
      <w:pPr>
        <w:tabs>
          <w:tab w:val="num" w:pos="3600"/>
        </w:tabs>
        <w:ind w:left="3600" w:hanging="360"/>
      </w:pPr>
      <w:rPr>
        <w:rFonts w:ascii="Courier New" w:hAnsi="Courier New" w:hint="default"/>
        <w:color w:val="000000"/>
      </w:rPr>
    </w:lvl>
    <w:lvl w:ilvl="5" w:tplc="4E8231E2" w:tentative="1">
      <w:start w:val="1"/>
      <w:numFmt w:val="bullet"/>
      <w:lvlText w:val=""/>
      <w:lvlJc w:val="left"/>
      <w:pPr>
        <w:tabs>
          <w:tab w:val="num" w:pos="4320"/>
        </w:tabs>
        <w:ind w:left="4320" w:hanging="360"/>
      </w:pPr>
      <w:rPr>
        <w:rFonts w:ascii="Wingdings" w:hAnsi="Wingdings" w:hint="default"/>
        <w:color w:val="000000"/>
      </w:rPr>
    </w:lvl>
    <w:lvl w:ilvl="6" w:tplc="AC4A45A2" w:tentative="1">
      <w:start w:val="1"/>
      <w:numFmt w:val="bullet"/>
      <w:lvlText w:val=""/>
      <w:lvlJc w:val="left"/>
      <w:pPr>
        <w:tabs>
          <w:tab w:val="num" w:pos="5040"/>
        </w:tabs>
        <w:ind w:left="5040" w:hanging="360"/>
      </w:pPr>
      <w:rPr>
        <w:rFonts w:ascii="Symbol" w:hAnsi="Symbol" w:hint="default"/>
        <w:color w:val="000000"/>
      </w:rPr>
    </w:lvl>
    <w:lvl w:ilvl="7" w:tplc="5DF63100" w:tentative="1">
      <w:start w:val="1"/>
      <w:numFmt w:val="bullet"/>
      <w:lvlText w:val="o"/>
      <w:lvlJc w:val="left"/>
      <w:pPr>
        <w:tabs>
          <w:tab w:val="num" w:pos="5760"/>
        </w:tabs>
        <w:ind w:left="5760" w:hanging="360"/>
      </w:pPr>
      <w:rPr>
        <w:rFonts w:ascii="Courier New" w:hAnsi="Courier New" w:hint="default"/>
        <w:color w:val="000000"/>
      </w:rPr>
    </w:lvl>
    <w:lvl w:ilvl="8" w:tplc="B100DA74" w:tentative="1">
      <w:start w:val="1"/>
      <w:numFmt w:val="bullet"/>
      <w:lvlText w:val=""/>
      <w:lvlJc w:val="left"/>
      <w:pPr>
        <w:tabs>
          <w:tab w:val="num" w:pos="6480"/>
        </w:tabs>
        <w:ind w:left="6480" w:hanging="360"/>
      </w:pPr>
      <w:rPr>
        <w:rFonts w:ascii="Wingdings" w:hAnsi="Wingdings" w:hint="default"/>
        <w:color w:val="000000"/>
      </w:rPr>
    </w:lvl>
  </w:abstractNum>
  <w:abstractNum w:abstractNumId="26" w15:restartNumberingAfterBreak="0">
    <w:nsid w:val="6525197A"/>
    <w:multiLevelType w:val="hybridMultilevel"/>
    <w:tmpl w:val="FF4A3E68"/>
    <w:lvl w:ilvl="0" w:tplc="4C8CED1A">
      <w:start w:val="1"/>
      <w:numFmt w:val="bullet"/>
      <w:lvlText w:val=""/>
      <w:lvlJc w:val="left"/>
      <w:pPr>
        <w:tabs>
          <w:tab w:val="num" w:pos="850"/>
        </w:tabs>
        <w:ind w:left="850" w:hanging="850"/>
      </w:pPr>
      <w:rPr>
        <w:rFonts w:ascii="Symbol" w:hAnsi="Symbol" w:hint="default"/>
        <w:color w:val="000000"/>
      </w:rPr>
    </w:lvl>
    <w:lvl w:ilvl="1" w:tplc="748ED90E" w:tentative="1">
      <w:start w:val="1"/>
      <w:numFmt w:val="bullet"/>
      <w:lvlText w:val="o"/>
      <w:lvlJc w:val="left"/>
      <w:pPr>
        <w:tabs>
          <w:tab w:val="num" w:pos="1440"/>
        </w:tabs>
        <w:ind w:left="1440" w:hanging="360"/>
      </w:pPr>
      <w:rPr>
        <w:rFonts w:ascii="Courier New" w:hAnsi="Courier New" w:hint="default"/>
        <w:color w:val="000000"/>
      </w:rPr>
    </w:lvl>
    <w:lvl w:ilvl="2" w:tplc="584CC6FC" w:tentative="1">
      <w:start w:val="1"/>
      <w:numFmt w:val="bullet"/>
      <w:lvlText w:val=""/>
      <w:lvlJc w:val="left"/>
      <w:pPr>
        <w:tabs>
          <w:tab w:val="num" w:pos="2160"/>
        </w:tabs>
        <w:ind w:left="2160" w:hanging="360"/>
      </w:pPr>
      <w:rPr>
        <w:rFonts w:ascii="Wingdings" w:hAnsi="Wingdings" w:hint="default"/>
        <w:color w:val="000000"/>
      </w:rPr>
    </w:lvl>
    <w:lvl w:ilvl="3" w:tplc="377E6142" w:tentative="1">
      <w:start w:val="1"/>
      <w:numFmt w:val="bullet"/>
      <w:lvlText w:val=""/>
      <w:lvlJc w:val="left"/>
      <w:pPr>
        <w:tabs>
          <w:tab w:val="num" w:pos="2880"/>
        </w:tabs>
        <w:ind w:left="2880" w:hanging="360"/>
      </w:pPr>
      <w:rPr>
        <w:rFonts w:ascii="Symbol" w:hAnsi="Symbol" w:hint="default"/>
        <w:color w:val="000000"/>
      </w:rPr>
    </w:lvl>
    <w:lvl w:ilvl="4" w:tplc="8D8E2970" w:tentative="1">
      <w:start w:val="1"/>
      <w:numFmt w:val="bullet"/>
      <w:lvlText w:val="o"/>
      <w:lvlJc w:val="left"/>
      <w:pPr>
        <w:tabs>
          <w:tab w:val="num" w:pos="3600"/>
        </w:tabs>
        <w:ind w:left="3600" w:hanging="360"/>
      </w:pPr>
      <w:rPr>
        <w:rFonts w:ascii="Courier New" w:hAnsi="Courier New" w:hint="default"/>
        <w:color w:val="000000"/>
      </w:rPr>
    </w:lvl>
    <w:lvl w:ilvl="5" w:tplc="01D21FB2" w:tentative="1">
      <w:start w:val="1"/>
      <w:numFmt w:val="bullet"/>
      <w:lvlText w:val=""/>
      <w:lvlJc w:val="left"/>
      <w:pPr>
        <w:tabs>
          <w:tab w:val="num" w:pos="4320"/>
        </w:tabs>
        <w:ind w:left="4320" w:hanging="360"/>
      </w:pPr>
      <w:rPr>
        <w:rFonts w:ascii="Wingdings" w:hAnsi="Wingdings" w:hint="default"/>
        <w:color w:val="000000"/>
      </w:rPr>
    </w:lvl>
    <w:lvl w:ilvl="6" w:tplc="0C8C9A84" w:tentative="1">
      <w:start w:val="1"/>
      <w:numFmt w:val="bullet"/>
      <w:lvlText w:val=""/>
      <w:lvlJc w:val="left"/>
      <w:pPr>
        <w:tabs>
          <w:tab w:val="num" w:pos="5040"/>
        </w:tabs>
        <w:ind w:left="5040" w:hanging="360"/>
      </w:pPr>
      <w:rPr>
        <w:rFonts w:ascii="Symbol" w:hAnsi="Symbol" w:hint="default"/>
        <w:color w:val="000000"/>
      </w:rPr>
    </w:lvl>
    <w:lvl w:ilvl="7" w:tplc="AF20F1C0" w:tentative="1">
      <w:start w:val="1"/>
      <w:numFmt w:val="bullet"/>
      <w:lvlText w:val="o"/>
      <w:lvlJc w:val="left"/>
      <w:pPr>
        <w:tabs>
          <w:tab w:val="num" w:pos="5760"/>
        </w:tabs>
        <w:ind w:left="5760" w:hanging="360"/>
      </w:pPr>
      <w:rPr>
        <w:rFonts w:ascii="Courier New" w:hAnsi="Courier New" w:hint="default"/>
        <w:color w:val="000000"/>
      </w:rPr>
    </w:lvl>
    <w:lvl w:ilvl="8" w:tplc="95CA12FA" w:tentative="1">
      <w:start w:val="1"/>
      <w:numFmt w:val="bullet"/>
      <w:lvlText w:val=""/>
      <w:lvlJc w:val="left"/>
      <w:pPr>
        <w:tabs>
          <w:tab w:val="num" w:pos="6480"/>
        </w:tabs>
        <w:ind w:left="6480" w:hanging="360"/>
      </w:pPr>
      <w:rPr>
        <w:rFonts w:ascii="Wingdings" w:hAnsi="Wingdings" w:hint="default"/>
        <w:color w:val="000000"/>
      </w:rPr>
    </w:lvl>
  </w:abstractNum>
  <w:abstractNum w:abstractNumId="27" w15:restartNumberingAfterBreak="0">
    <w:nsid w:val="65B63B5E"/>
    <w:multiLevelType w:val="hybridMultilevel"/>
    <w:tmpl w:val="9AC05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4095BA3"/>
    <w:multiLevelType w:val="hybridMultilevel"/>
    <w:tmpl w:val="7D1E8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92E2350"/>
    <w:multiLevelType w:val="multilevel"/>
    <w:tmpl w:val="4DFAD2BE"/>
    <w:lvl w:ilvl="0">
      <w:start w:val="1"/>
      <w:numFmt w:val="decimal"/>
      <w:pStyle w:val="Legal1"/>
      <w:lvlText w:val="%1."/>
      <w:lvlJc w:val="left"/>
      <w:pPr>
        <w:tabs>
          <w:tab w:val="num" w:pos="567"/>
        </w:tabs>
        <w:ind w:left="567" w:hanging="567"/>
      </w:pPr>
      <w:rPr>
        <w:color w:val="FF00FF"/>
        <w:sz w:val="20"/>
      </w:rPr>
    </w:lvl>
    <w:lvl w:ilvl="1">
      <w:start w:val="1"/>
      <w:numFmt w:val="decimal"/>
      <w:pStyle w:val="Legal2"/>
      <w:lvlText w:val="%1.%2"/>
      <w:lvlJc w:val="left"/>
      <w:pPr>
        <w:tabs>
          <w:tab w:val="num" w:pos="567"/>
        </w:tabs>
        <w:ind w:left="567" w:hanging="567"/>
      </w:pPr>
      <w:rPr>
        <w:color w:val="FF00FF"/>
      </w:rPr>
    </w:lvl>
    <w:lvl w:ilvl="2">
      <w:start w:val="1"/>
      <w:numFmt w:val="decimal"/>
      <w:pStyle w:val="Legal3"/>
      <w:lvlText w:val="%1.%2.%3"/>
      <w:lvlJc w:val="left"/>
      <w:pPr>
        <w:tabs>
          <w:tab w:val="num" w:pos="1276"/>
        </w:tabs>
        <w:ind w:left="1276" w:hanging="709"/>
      </w:pPr>
      <w:rPr>
        <w:color w:val="FF00FF"/>
      </w:rPr>
    </w:lvl>
    <w:lvl w:ilvl="3">
      <w:start w:val="1"/>
      <w:numFmt w:val="decimal"/>
      <w:pStyle w:val="Legal4"/>
      <w:lvlText w:val="%1.%2.%3.%4"/>
      <w:lvlJc w:val="left"/>
      <w:pPr>
        <w:tabs>
          <w:tab w:val="num" w:pos="2126"/>
        </w:tabs>
        <w:ind w:left="2126" w:hanging="850"/>
      </w:pPr>
      <w:rPr>
        <w:color w:val="FF00FF"/>
      </w:rPr>
    </w:lvl>
    <w:lvl w:ilvl="4">
      <w:start w:val="1"/>
      <w:numFmt w:val="lowerLetter"/>
      <w:pStyle w:val="Legal5"/>
      <w:lvlText w:val="(%5)"/>
      <w:lvlJc w:val="left"/>
      <w:pPr>
        <w:tabs>
          <w:tab w:val="num" w:pos="2693"/>
        </w:tabs>
        <w:ind w:left="2693" w:hanging="567"/>
      </w:pPr>
      <w:rPr>
        <w:color w:val="FF00FF"/>
      </w:rPr>
    </w:lvl>
    <w:lvl w:ilvl="5">
      <w:start w:val="1"/>
      <w:numFmt w:val="lowerRoman"/>
      <w:pStyle w:val="Legal6"/>
      <w:lvlText w:val="(%6)"/>
      <w:lvlJc w:val="left"/>
      <w:pPr>
        <w:tabs>
          <w:tab w:val="num" w:pos="3413"/>
        </w:tabs>
        <w:ind w:left="3260" w:hanging="567"/>
      </w:pPr>
      <w:rPr>
        <w:color w:val="FF00FF"/>
      </w:rPr>
    </w:lvl>
    <w:lvl w:ilvl="6">
      <w:start w:val="1"/>
      <w:numFmt w:val="bullet"/>
      <w:pStyle w:val="Legal7"/>
      <w:lvlText w:val=""/>
      <w:lvlJc w:val="left"/>
      <w:pPr>
        <w:tabs>
          <w:tab w:val="num" w:pos="3827"/>
        </w:tabs>
        <w:ind w:left="3827" w:hanging="567"/>
      </w:pPr>
      <w:rPr>
        <w:rFonts w:ascii="Symbol" w:hAnsi="Symbol" w:hint="default"/>
        <w:color w:val="000000"/>
      </w:rPr>
    </w:lvl>
    <w:lvl w:ilvl="7">
      <w:start w:val="1"/>
      <w:numFmt w:val="bullet"/>
      <w:pStyle w:val="Legal8"/>
      <w:lvlText w:val=""/>
      <w:lvlJc w:val="left"/>
      <w:pPr>
        <w:tabs>
          <w:tab w:val="num" w:pos="4394"/>
        </w:tabs>
        <w:ind w:left="4394" w:hanging="567"/>
      </w:pPr>
      <w:rPr>
        <w:rFonts w:ascii="Symbol" w:hAnsi="Symbol" w:hint="default"/>
        <w:color w:val="000000"/>
        <w:sz w:val="20"/>
      </w:rPr>
    </w:lvl>
    <w:lvl w:ilvl="8">
      <w:start w:val="1"/>
      <w:numFmt w:val="lowerLetter"/>
      <w:pStyle w:val="Legal9"/>
      <w:lvlText w:val="(%9)"/>
      <w:lvlJc w:val="left"/>
      <w:pPr>
        <w:tabs>
          <w:tab w:val="num" w:pos="4961"/>
        </w:tabs>
        <w:ind w:left="4961" w:hanging="567"/>
      </w:pPr>
      <w:rPr>
        <w:color w:val="FF00FF"/>
      </w:rPr>
    </w:lvl>
  </w:abstractNum>
  <w:abstractNum w:abstractNumId="30" w15:restartNumberingAfterBreak="0">
    <w:nsid w:val="796E3E7A"/>
    <w:multiLevelType w:val="hybridMultilevel"/>
    <w:tmpl w:val="70CE2712"/>
    <w:lvl w:ilvl="0" w:tplc="4C8CED1A">
      <w:start w:val="1"/>
      <w:numFmt w:val="bullet"/>
      <w:lvlText w:val=""/>
      <w:lvlJc w:val="left"/>
      <w:pPr>
        <w:tabs>
          <w:tab w:val="num" w:pos="850"/>
        </w:tabs>
        <w:ind w:left="850" w:hanging="850"/>
      </w:pPr>
      <w:rPr>
        <w:rFonts w:ascii="Symbol" w:hAnsi="Symbol" w:hint="default"/>
        <w:color w:val="000000"/>
      </w:rPr>
    </w:lvl>
    <w:lvl w:ilvl="1" w:tplc="298C426E" w:tentative="1">
      <w:start w:val="1"/>
      <w:numFmt w:val="bullet"/>
      <w:lvlText w:val="o"/>
      <w:lvlJc w:val="left"/>
      <w:pPr>
        <w:tabs>
          <w:tab w:val="num" w:pos="1440"/>
        </w:tabs>
        <w:ind w:left="1440" w:hanging="360"/>
      </w:pPr>
      <w:rPr>
        <w:rFonts w:ascii="Courier New" w:hAnsi="Courier New" w:hint="default"/>
        <w:color w:val="000000"/>
      </w:rPr>
    </w:lvl>
    <w:lvl w:ilvl="2" w:tplc="BC34C016" w:tentative="1">
      <w:start w:val="1"/>
      <w:numFmt w:val="bullet"/>
      <w:lvlText w:val=""/>
      <w:lvlJc w:val="left"/>
      <w:pPr>
        <w:tabs>
          <w:tab w:val="num" w:pos="2160"/>
        </w:tabs>
        <w:ind w:left="2160" w:hanging="360"/>
      </w:pPr>
      <w:rPr>
        <w:rFonts w:ascii="Wingdings" w:hAnsi="Wingdings" w:hint="default"/>
        <w:color w:val="000000"/>
      </w:rPr>
    </w:lvl>
    <w:lvl w:ilvl="3" w:tplc="49E6617C" w:tentative="1">
      <w:start w:val="1"/>
      <w:numFmt w:val="bullet"/>
      <w:lvlText w:val=""/>
      <w:lvlJc w:val="left"/>
      <w:pPr>
        <w:tabs>
          <w:tab w:val="num" w:pos="2880"/>
        </w:tabs>
        <w:ind w:left="2880" w:hanging="360"/>
      </w:pPr>
      <w:rPr>
        <w:rFonts w:ascii="Symbol" w:hAnsi="Symbol" w:hint="default"/>
        <w:color w:val="000000"/>
      </w:rPr>
    </w:lvl>
    <w:lvl w:ilvl="4" w:tplc="A94A1C1E" w:tentative="1">
      <w:start w:val="1"/>
      <w:numFmt w:val="bullet"/>
      <w:lvlText w:val="o"/>
      <w:lvlJc w:val="left"/>
      <w:pPr>
        <w:tabs>
          <w:tab w:val="num" w:pos="3600"/>
        </w:tabs>
        <w:ind w:left="3600" w:hanging="360"/>
      </w:pPr>
      <w:rPr>
        <w:rFonts w:ascii="Courier New" w:hAnsi="Courier New" w:hint="default"/>
        <w:color w:val="000000"/>
      </w:rPr>
    </w:lvl>
    <w:lvl w:ilvl="5" w:tplc="AF1EC74C" w:tentative="1">
      <w:start w:val="1"/>
      <w:numFmt w:val="bullet"/>
      <w:lvlText w:val=""/>
      <w:lvlJc w:val="left"/>
      <w:pPr>
        <w:tabs>
          <w:tab w:val="num" w:pos="4320"/>
        </w:tabs>
        <w:ind w:left="4320" w:hanging="360"/>
      </w:pPr>
      <w:rPr>
        <w:rFonts w:ascii="Wingdings" w:hAnsi="Wingdings" w:hint="default"/>
        <w:color w:val="000000"/>
      </w:rPr>
    </w:lvl>
    <w:lvl w:ilvl="6" w:tplc="97368D50" w:tentative="1">
      <w:start w:val="1"/>
      <w:numFmt w:val="bullet"/>
      <w:lvlText w:val=""/>
      <w:lvlJc w:val="left"/>
      <w:pPr>
        <w:tabs>
          <w:tab w:val="num" w:pos="5040"/>
        </w:tabs>
        <w:ind w:left="5040" w:hanging="360"/>
      </w:pPr>
      <w:rPr>
        <w:rFonts w:ascii="Symbol" w:hAnsi="Symbol" w:hint="default"/>
        <w:color w:val="000000"/>
      </w:rPr>
    </w:lvl>
    <w:lvl w:ilvl="7" w:tplc="1EF885E6" w:tentative="1">
      <w:start w:val="1"/>
      <w:numFmt w:val="bullet"/>
      <w:lvlText w:val="o"/>
      <w:lvlJc w:val="left"/>
      <w:pPr>
        <w:tabs>
          <w:tab w:val="num" w:pos="5760"/>
        </w:tabs>
        <w:ind w:left="5760" w:hanging="360"/>
      </w:pPr>
      <w:rPr>
        <w:rFonts w:ascii="Courier New" w:hAnsi="Courier New" w:hint="default"/>
        <w:color w:val="000000"/>
      </w:rPr>
    </w:lvl>
    <w:lvl w:ilvl="8" w:tplc="3AFAD228" w:tentative="1">
      <w:start w:val="1"/>
      <w:numFmt w:val="bullet"/>
      <w:lvlText w:val=""/>
      <w:lvlJc w:val="left"/>
      <w:pPr>
        <w:tabs>
          <w:tab w:val="num" w:pos="6480"/>
        </w:tabs>
        <w:ind w:left="6480" w:hanging="360"/>
      </w:pPr>
      <w:rPr>
        <w:rFonts w:ascii="Wingdings" w:hAnsi="Wingdings" w:hint="default"/>
        <w:color w:val="000000"/>
      </w:rPr>
    </w:lvl>
  </w:abstractNum>
  <w:abstractNum w:abstractNumId="31" w15:restartNumberingAfterBreak="0">
    <w:nsid w:val="7D8D54C7"/>
    <w:multiLevelType w:val="hybridMultilevel"/>
    <w:tmpl w:val="D2628D76"/>
    <w:lvl w:ilvl="0" w:tplc="A424625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0"/>
  </w:num>
  <w:num w:numId="3">
    <w:abstractNumId w:val="24"/>
  </w:num>
  <w:num w:numId="4">
    <w:abstractNumId w:val="2"/>
  </w:num>
  <w:num w:numId="5">
    <w:abstractNumId w:val="6"/>
  </w:num>
  <w:num w:numId="6">
    <w:abstractNumId w:val="26"/>
  </w:num>
  <w:num w:numId="7">
    <w:abstractNumId w:val="10"/>
  </w:num>
  <w:num w:numId="8">
    <w:abstractNumId w:val="14"/>
  </w:num>
  <w:num w:numId="9">
    <w:abstractNumId w:val="25"/>
  </w:num>
  <w:num w:numId="10">
    <w:abstractNumId w:val="9"/>
  </w:num>
  <w:num w:numId="11">
    <w:abstractNumId w:val="23"/>
  </w:num>
  <w:num w:numId="12">
    <w:abstractNumId w:val="21"/>
  </w:num>
  <w:num w:numId="13">
    <w:abstractNumId w:val="16"/>
  </w:num>
  <w:num w:numId="14">
    <w:abstractNumId w:val="22"/>
  </w:num>
  <w:num w:numId="15">
    <w:abstractNumId w:val="7"/>
  </w:num>
  <w:num w:numId="16">
    <w:abstractNumId w:val="5"/>
  </w:num>
  <w:num w:numId="17">
    <w:abstractNumId w:val="3"/>
  </w:num>
  <w:num w:numId="18">
    <w:abstractNumId w:val="29"/>
  </w:num>
  <w:num w:numId="19">
    <w:abstractNumId w:val="19"/>
  </w:num>
  <w:num w:numId="20">
    <w:abstractNumId w:val="13"/>
  </w:num>
  <w:num w:numId="21">
    <w:abstractNumId w:val="12"/>
  </w:num>
  <w:num w:numId="22">
    <w:abstractNumId w:val="17"/>
  </w:num>
  <w:num w:numId="23">
    <w:abstractNumId w:val="4"/>
  </w:num>
  <w:num w:numId="24">
    <w:abstractNumId w:val="20"/>
  </w:num>
  <w:num w:numId="25">
    <w:abstractNumId w:val="31"/>
  </w:num>
  <w:num w:numId="26">
    <w:abstractNumId w:val="11"/>
  </w:num>
  <w:num w:numId="27">
    <w:abstractNumId w:val="27"/>
  </w:num>
  <w:num w:numId="28">
    <w:abstractNumId w:val="28"/>
  </w:num>
  <w:num w:numId="29">
    <w:abstractNumId w:val="1"/>
  </w:num>
  <w:num w:numId="30">
    <w:abstractNumId w:val="15"/>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AD"/>
    <w:rsid w:val="00004423"/>
    <w:rsid w:val="00007476"/>
    <w:rsid w:val="000077DC"/>
    <w:rsid w:val="00014A6A"/>
    <w:rsid w:val="00017D02"/>
    <w:rsid w:val="000239D0"/>
    <w:rsid w:val="000576AA"/>
    <w:rsid w:val="00081AAC"/>
    <w:rsid w:val="00081BEF"/>
    <w:rsid w:val="000832E3"/>
    <w:rsid w:val="000913C1"/>
    <w:rsid w:val="00093E49"/>
    <w:rsid w:val="000A2542"/>
    <w:rsid w:val="000A7775"/>
    <w:rsid w:val="000B1AC4"/>
    <w:rsid w:val="000C2201"/>
    <w:rsid w:val="000C34C7"/>
    <w:rsid w:val="000F208D"/>
    <w:rsid w:val="00102330"/>
    <w:rsid w:val="00104D33"/>
    <w:rsid w:val="00107D81"/>
    <w:rsid w:val="00110059"/>
    <w:rsid w:val="00114C61"/>
    <w:rsid w:val="0012078F"/>
    <w:rsid w:val="00124929"/>
    <w:rsid w:val="001302FD"/>
    <w:rsid w:val="0013780D"/>
    <w:rsid w:val="00140239"/>
    <w:rsid w:val="001406BD"/>
    <w:rsid w:val="00144B9B"/>
    <w:rsid w:val="001468FB"/>
    <w:rsid w:val="001521D9"/>
    <w:rsid w:val="001901AB"/>
    <w:rsid w:val="00190FBD"/>
    <w:rsid w:val="001A730E"/>
    <w:rsid w:val="001B470D"/>
    <w:rsid w:val="001C1FF2"/>
    <w:rsid w:val="001C7E9B"/>
    <w:rsid w:val="001D5FB2"/>
    <w:rsid w:val="001E1C42"/>
    <w:rsid w:val="001F2EF2"/>
    <w:rsid w:val="0022229C"/>
    <w:rsid w:val="002446BF"/>
    <w:rsid w:val="002448F5"/>
    <w:rsid w:val="00244C28"/>
    <w:rsid w:val="0024589B"/>
    <w:rsid w:val="00263972"/>
    <w:rsid w:val="00271293"/>
    <w:rsid w:val="00272CC0"/>
    <w:rsid w:val="002761B1"/>
    <w:rsid w:val="002A0E56"/>
    <w:rsid w:val="002A57CF"/>
    <w:rsid w:val="002B028C"/>
    <w:rsid w:val="002B06C5"/>
    <w:rsid w:val="002B3E2A"/>
    <w:rsid w:val="002C74DC"/>
    <w:rsid w:val="002D282B"/>
    <w:rsid w:val="002D39EB"/>
    <w:rsid w:val="002D3DF2"/>
    <w:rsid w:val="002D3EB3"/>
    <w:rsid w:val="002D4E41"/>
    <w:rsid w:val="002E4846"/>
    <w:rsid w:val="002E6658"/>
    <w:rsid w:val="002F0DD1"/>
    <w:rsid w:val="002F54F1"/>
    <w:rsid w:val="002F58D3"/>
    <w:rsid w:val="00304FED"/>
    <w:rsid w:val="003263BA"/>
    <w:rsid w:val="0033344F"/>
    <w:rsid w:val="003342A7"/>
    <w:rsid w:val="003420DB"/>
    <w:rsid w:val="00353AB9"/>
    <w:rsid w:val="00356868"/>
    <w:rsid w:val="00366476"/>
    <w:rsid w:val="003730B0"/>
    <w:rsid w:val="0037317B"/>
    <w:rsid w:val="00380B78"/>
    <w:rsid w:val="003971BF"/>
    <w:rsid w:val="003A5EF7"/>
    <w:rsid w:val="003B01AE"/>
    <w:rsid w:val="003F24AC"/>
    <w:rsid w:val="00406038"/>
    <w:rsid w:val="00413E8A"/>
    <w:rsid w:val="00413FA6"/>
    <w:rsid w:val="00417054"/>
    <w:rsid w:val="00421754"/>
    <w:rsid w:val="00425108"/>
    <w:rsid w:val="004347E5"/>
    <w:rsid w:val="00455006"/>
    <w:rsid w:val="00455F22"/>
    <w:rsid w:val="00473FA7"/>
    <w:rsid w:val="004775E1"/>
    <w:rsid w:val="00480916"/>
    <w:rsid w:val="0048173A"/>
    <w:rsid w:val="00487461"/>
    <w:rsid w:val="00490082"/>
    <w:rsid w:val="00493B38"/>
    <w:rsid w:val="0049445C"/>
    <w:rsid w:val="00497570"/>
    <w:rsid w:val="004A086B"/>
    <w:rsid w:val="004A5341"/>
    <w:rsid w:val="004B5EF5"/>
    <w:rsid w:val="004B74B3"/>
    <w:rsid w:val="004C638B"/>
    <w:rsid w:val="004E09BA"/>
    <w:rsid w:val="004F33C2"/>
    <w:rsid w:val="004F4EEF"/>
    <w:rsid w:val="00514350"/>
    <w:rsid w:val="00515822"/>
    <w:rsid w:val="005316B2"/>
    <w:rsid w:val="005375AC"/>
    <w:rsid w:val="00540297"/>
    <w:rsid w:val="00540952"/>
    <w:rsid w:val="00552798"/>
    <w:rsid w:val="0055281A"/>
    <w:rsid w:val="0056606F"/>
    <w:rsid w:val="00581D4B"/>
    <w:rsid w:val="00591212"/>
    <w:rsid w:val="00592311"/>
    <w:rsid w:val="005A2B0A"/>
    <w:rsid w:val="005A42A9"/>
    <w:rsid w:val="005A4D96"/>
    <w:rsid w:val="005B5874"/>
    <w:rsid w:val="005C6B73"/>
    <w:rsid w:val="005D2F4F"/>
    <w:rsid w:val="005D617C"/>
    <w:rsid w:val="005E0367"/>
    <w:rsid w:val="005E12CB"/>
    <w:rsid w:val="005E575E"/>
    <w:rsid w:val="005F3356"/>
    <w:rsid w:val="005F7F76"/>
    <w:rsid w:val="006017A9"/>
    <w:rsid w:val="0061671E"/>
    <w:rsid w:val="00622317"/>
    <w:rsid w:val="00624BA0"/>
    <w:rsid w:val="00627496"/>
    <w:rsid w:val="006434FB"/>
    <w:rsid w:val="00645744"/>
    <w:rsid w:val="006737E2"/>
    <w:rsid w:val="006761C1"/>
    <w:rsid w:val="00676CC6"/>
    <w:rsid w:val="006A5354"/>
    <w:rsid w:val="006B4430"/>
    <w:rsid w:val="006B566A"/>
    <w:rsid w:val="006C626C"/>
    <w:rsid w:val="00704B15"/>
    <w:rsid w:val="00716263"/>
    <w:rsid w:val="00717237"/>
    <w:rsid w:val="00724895"/>
    <w:rsid w:val="00726514"/>
    <w:rsid w:val="00734AF6"/>
    <w:rsid w:val="007361BF"/>
    <w:rsid w:val="00736531"/>
    <w:rsid w:val="00737EB4"/>
    <w:rsid w:val="007435FA"/>
    <w:rsid w:val="007508E1"/>
    <w:rsid w:val="007569D2"/>
    <w:rsid w:val="00761B35"/>
    <w:rsid w:val="00766DEA"/>
    <w:rsid w:val="00773619"/>
    <w:rsid w:val="00776F49"/>
    <w:rsid w:val="00784461"/>
    <w:rsid w:val="00790869"/>
    <w:rsid w:val="00790A2F"/>
    <w:rsid w:val="007A3BFD"/>
    <w:rsid w:val="007B3382"/>
    <w:rsid w:val="007B67F0"/>
    <w:rsid w:val="007C7B3F"/>
    <w:rsid w:val="007C7F8C"/>
    <w:rsid w:val="007D1B43"/>
    <w:rsid w:val="007D3A2E"/>
    <w:rsid w:val="007F3364"/>
    <w:rsid w:val="008168C5"/>
    <w:rsid w:val="00830509"/>
    <w:rsid w:val="0083534F"/>
    <w:rsid w:val="00852878"/>
    <w:rsid w:val="008547C4"/>
    <w:rsid w:val="00863E8D"/>
    <w:rsid w:val="00875AE0"/>
    <w:rsid w:val="00876977"/>
    <w:rsid w:val="00876A73"/>
    <w:rsid w:val="008818FB"/>
    <w:rsid w:val="00897328"/>
    <w:rsid w:val="008B151F"/>
    <w:rsid w:val="008B4BD3"/>
    <w:rsid w:val="008D04C7"/>
    <w:rsid w:val="008D0E91"/>
    <w:rsid w:val="008E3EBC"/>
    <w:rsid w:val="009143C2"/>
    <w:rsid w:val="009151AD"/>
    <w:rsid w:val="00926C6A"/>
    <w:rsid w:val="00960C76"/>
    <w:rsid w:val="009667E0"/>
    <w:rsid w:val="00966C53"/>
    <w:rsid w:val="009729C7"/>
    <w:rsid w:val="00982C41"/>
    <w:rsid w:val="00986B70"/>
    <w:rsid w:val="009874D2"/>
    <w:rsid w:val="00993AA3"/>
    <w:rsid w:val="00996357"/>
    <w:rsid w:val="009B01E2"/>
    <w:rsid w:val="009B1751"/>
    <w:rsid w:val="009B52A0"/>
    <w:rsid w:val="009E2B6F"/>
    <w:rsid w:val="009F5571"/>
    <w:rsid w:val="009F78A7"/>
    <w:rsid w:val="00A0339A"/>
    <w:rsid w:val="00A049FD"/>
    <w:rsid w:val="00A05AAE"/>
    <w:rsid w:val="00A07D78"/>
    <w:rsid w:val="00A17ADB"/>
    <w:rsid w:val="00A27DE6"/>
    <w:rsid w:val="00A31970"/>
    <w:rsid w:val="00A43574"/>
    <w:rsid w:val="00A52A87"/>
    <w:rsid w:val="00A552FD"/>
    <w:rsid w:val="00A61697"/>
    <w:rsid w:val="00A66234"/>
    <w:rsid w:val="00A7076B"/>
    <w:rsid w:val="00A95E18"/>
    <w:rsid w:val="00AA7F60"/>
    <w:rsid w:val="00AC065C"/>
    <w:rsid w:val="00AE09C5"/>
    <w:rsid w:val="00AE7E80"/>
    <w:rsid w:val="00AF7469"/>
    <w:rsid w:val="00B12AB3"/>
    <w:rsid w:val="00B1393D"/>
    <w:rsid w:val="00B34BAA"/>
    <w:rsid w:val="00B42E49"/>
    <w:rsid w:val="00B512ED"/>
    <w:rsid w:val="00B547AF"/>
    <w:rsid w:val="00B67523"/>
    <w:rsid w:val="00B70B02"/>
    <w:rsid w:val="00B70E9B"/>
    <w:rsid w:val="00B71FF4"/>
    <w:rsid w:val="00B745CA"/>
    <w:rsid w:val="00B80190"/>
    <w:rsid w:val="00B8787E"/>
    <w:rsid w:val="00BB0F4A"/>
    <w:rsid w:val="00BB43A4"/>
    <w:rsid w:val="00BB4401"/>
    <w:rsid w:val="00BD032A"/>
    <w:rsid w:val="00BD7762"/>
    <w:rsid w:val="00BE08EC"/>
    <w:rsid w:val="00BF2270"/>
    <w:rsid w:val="00BF3737"/>
    <w:rsid w:val="00C061B9"/>
    <w:rsid w:val="00C11CA4"/>
    <w:rsid w:val="00C2033A"/>
    <w:rsid w:val="00C20BAB"/>
    <w:rsid w:val="00C20D02"/>
    <w:rsid w:val="00C306D8"/>
    <w:rsid w:val="00C31525"/>
    <w:rsid w:val="00C3231F"/>
    <w:rsid w:val="00C334D7"/>
    <w:rsid w:val="00C3431E"/>
    <w:rsid w:val="00C47BB4"/>
    <w:rsid w:val="00C53A61"/>
    <w:rsid w:val="00C64641"/>
    <w:rsid w:val="00C660AC"/>
    <w:rsid w:val="00C721BE"/>
    <w:rsid w:val="00C7324A"/>
    <w:rsid w:val="00C76159"/>
    <w:rsid w:val="00C92E6C"/>
    <w:rsid w:val="00C94826"/>
    <w:rsid w:val="00CA10F8"/>
    <w:rsid w:val="00CA18B0"/>
    <w:rsid w:val="00CA1DA4"/>
    <w:rsid w:val="00CA60CD"/>
    <w:rsid w:val="00CC24B1"/>
    <w:rsid w:val="00CD0380"/>
    <w:rsid w:val="00CD3928"/>
    <w:rsid w:val="00CD5BBB"/>
    <w:rsid w:val="00CE67B7"/>
    <w:rsid w:val="00CF1D59"/>
    <w:rsid w:val="00D023EA"/>
    <w:rsid w:val="00D05B05"/>
    <w:rsid w:val="00D12BC6"/>
    <w:rsid w:val="00D1341E"/>
    <w:rsid w:val="00D16816"/>
    <w:rsid w:val="00D23590"/>
    <w:rsid w:val="00D42874"/>
    <w:rsid w:val="00D44829"/>
    <w:rsid w:val="00D57CD2"/>
    <w:rsid w:val="00D62085"/>
    <w:rsid w:val="00D749DD"/>
    <w:rsid w:val="00D83AE1"/>
    <w:rsid w:val="00D9275B"/>
    <w:rsid w:val="00DA7159"/>
    <w:rsid w:val="00DA7C99"/>
    <w:rsid w:val="00DB0AE1"/>
    <w:rsid w:val="00DD7075"/>
    <w:rsid w:val="00DE08DD"/>
    <w:rsid w:val="00DE10BF"/>
    <w:rsid w:val="00DF2E9C"/>
    <w:rsid w:val="00DF7F2D"/>
    <w:rsid w:val="00E2062D"/>
    <w:rsid w:val="00E20DDD"/>
    <w:rsid w:val="00E43380"/>
    <w:rsid w:val="00EB2573"/>
    <w:rsid w:val="00EB6B9F"/>
    <w:rsid w:val="00EB7D3B"/>
    <w:rsid w:val="00ED3310"/>
    <w:rsid w:val="00ED5D9E"/>
    <w:rsid w:val="00ED682F"/>
    <w:rsid w:val="00EE43E5"/>
    <w:rsid w:val="00F105DE"/>
    <w:rsid w:val="00F45A74"/>
    <w:rsid w:val="00F47934"/>
    <w:rsid w:val="00F71D10"/>
    <w:rsid w:val="00F735E2"/>
    <w:rsid w:val="00F771B4"/>
    <w:rsid w:val="00F80545"/>
    <w:rsid w:val="00F87A76"/>
    <w:rsid w:val="00F93EBB"/>
    <w:rsid w:val="00F950D1"/>
    <w:rsid w:val="00FA1C46"/>
    <w:rsid w:val="00FA3609"/>
    <w:rsid w:val="00FB3F2B"/>
    <w:rsid w:val="00FC6E3B"/>
    <w:rsid w:val="00FD18D3"/>
    <w:rsid w:val="00FE24BF"/>
    <w:rsid w:val="00FF7A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94A6"/>
  <w15:docId w15:val="{42B7794C-3D9C-4023-B17A-49796BF6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BB"/>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F93EBB"/>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F93EBB"/>
    <w:pPr>
      <w:numPr>
        <w:ilvl w:val="1"/>
        <w:numId w:val="1"/>
      </w:numPr>
      <w:tabs>
        <w:tab w:val="left" w:pos="2552"/>
        <w:tab w:val="left" w:pos="3402"/>
      </w:tabs>
      <w:outlineLvl w:val="1"/>
    </w:pPr>
  </w:style>
  <w:style w:type="paragraph" w:styleId="Heading3">
    <w:name w:val="heading 3"/>
    <w:basedOn w:val="Normal"/>
    <w:next w:val="NoNumCrt"/>
    <w:link w:val="Heading3Char"/>
    <w:qFormat/>
    <w:rsid w:val="00F93EBB"/>
    <w:pPr>
      <w:numPr>
        <w:ilvl w:val="2"/>
        <w:numId w:val="1"/>
      </w:numPr>
      <w:tabs>
        <w:tab w:val="left" w:pos="1701"/>
        <w:tab w:val="left" w:pos="3402"/>
      </w:tabs>
      <w:outlineLvl w:val="2"/>
    </w:pPr>
  </w:style>
  <w:style w:type="paragraph" w:styleId="Heading4">
    <w:name w:val="heading 4"/>
    <w:basedOn w:val="Normal"/>
    <w:next w:val="NoNumCrt"/>
    <w:link w:val="Heading4Char"/>
    <w:qFormat/>
    <w:rsid w:val="00F93EBB"/>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F93EBB"/>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F93EBB"/>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F93EBB"/>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F93EBB"/>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F93EBB"/>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rsid w:val="006434FB"/>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3EBB"/>
    <w:pPr>
      <w:tabs>
        <w:tab w:val="center" w:pos="4153"/>
        <w:tab w:val="right" w:pos="8306"/>
      </w:tabs>
    </w:pPr>
  </w:style>
  <w:style w:type="character" w:customStyle="1" w:styleId="HeaderChar">
    <w:name w:val="Header Char"/>
    <w:basedOn w:val="DefaultParagraphFont"/>
    <w:link w:val="Header"/>
    <w:rsid w:val="00766DEA"/>
    <w:rPr>
      <w:rFonts w:ascii="Arial" w:eastAsia="Times New Roman" w:hAnsi="Arial" w:cs="Arial"/>
      <w:sz w:val="21"/>
      <w:szCs w:val="20"/>
      <w:lang w:eastAsia="en-NZ"/>
    </w:rPr>
  </w:style>
  <w:style w:type="paragraph" w:styleId="Footer">
    <w:name w:val="footer"/>
    <w:basedOn w:val="Normal"/>
    <w:link w:val="FooterChar"/>
    <w:rsid w:val="00F93EBB"/>
    <w:pPr>
      <w:tabs>
        <w:tab w:val="center" w:pos="4153"/>
        <w:tab w:val="right" w:pos="8306"/>
      </w:tabs>
    </w:pPr>
  </w:style>
  <w:style w:type="character" w:customStyle="1" w:styleId="FooterChar">
    <w:name w:val="Footer Char"/>
    <w:basedOn w:val="DefaultParagraphFont"/>
    <w:link w:val="Footer"/>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F93EBB"/>
    <w:pPr>
      <w:tabs>
        <w:tab w:val="left" w:pos="851"/>
        <w:tab w:val="left" w:pos="1701"/>
        <w:tab w:val="left" w:pos="2552"/>
        <w:tab w:val="left" w:pos="3402"/>
      </w:tabs>
    </w:pPr>
  </w:style>
  <w:style w:type="paragraph" w:customStyle="1" w:styleId="Court">
    <w:name w:val="Court"/>
    <w:basedOn w:val="Normal"/>
    <w:rsid w:val="00F93EBB"/>
    <w:pPr>
      <w:spacing w:line="360" w:lineRule="auto"/>
    </w:pPr>
  </w:style>
  <w:style w:type="paragraph" w:customStyle="1" w:styleId="Textright">
    <w:name w:val="Text right"/>
    <w:basedOn w:val="Normal"/>
    <w:rsid w:val="00F93EBB"/>
    <w:pPr>
      <w:ind w:left="4320"/>
      <w:jc w:val="left"/>
    </w:pPr>
  </w:style>
  <w:style w:type="paragraph" w:customStyle="1" w:styleId="Signingposright">
    <w:name w:val="Signing pos right"/>
    <w:basedOn w:val="Normal"/>
    <w:rsid w:val="00F93EBB"/>
    <w:pPr>
      <w:spacing w:line="20" w:lineRule="atLeast"/>
      <w:ind w:left="4320" w:right="662"/>
      <w:jc w:val="left"/>
    </w:pPr>
  </w:style>
  <w:style w:type="paragraph" w:customStyle="1" w:styleId="NoNumCrt">
    <w:name w:val="NoNumCrt"/>
    <w:basedOn w:val="NoNum"/>
    <w:rsid w:val="00F93EBB"/>
  </w:style>
  <w:style w:type="paragraph" w:styleId="FootnoteText">
    <w:name w:val="footnote text"/>
    <w:basedOn w:val="Normal"/>
    <w:link w:val="FootnoteTextChar"/>
    <w:semiHidden/>
    <w:rsid w:val="00F93EBB"/>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table" w:customStyle="1" w:styleId="SG1black">
    <w:name w:val="SG1 black"/>
    <w:basedOn w:val="TableNormal"/>
    <w:uiPriority w:val="99"/>
    <w:rsid w:val="00982C41"/>
    <w:pPr>
      <w:spacing w:after="0" w:line="240" w:lineRule="auto"/>
    </w:p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982C41"/>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982C41"/>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982C41"/>
    <w:pPr>
      <w:spacing w:after="0" w:line="240" w:lineRule="auto"/>
    </w:p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982C41"/>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982C41"/>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982C41"/>
    <w:pPr>
      <w:spacing w:after="0" w:line="240" w:lineRule="auto"/>
    </w:p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982C41"/>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982C41"/>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styleId="FootnoteReference">
    <w:name w:val="footnote reference"/>
    <w:semiHidden/>
    <w:rsid w:val="00D42874"/>
    <w:rPr>
      <w:vertAlign w:val="superscript"/>
    </w:rPr>
  </w:style>
  <w:style w:type="paragraph" w:styleId="ListParagraph">
    <w:name w:val="List Paragraph"/>
    <w:basedOn w:val="Normal"/>
    <w:uiPriority w:val="34"/>
    <w:qFormat/>
    <w:rsid w:val="004A5341"/>
    <w:pPr>
      <w:ind w:left="720"/>
      <w:contextualSpacing/>
    </w:pPr>
  </w:style>
  <w:style w:type="paragraph" w:styleId="EndnoteText">
    <w:name w:val="endnote text"/>
    <w:basedOn w:val="Normal"/>
    <w:link w:val="EndnoteTextChar"/>
    <w:uiPriority w:val="99"/>
    <w:semiHidden/>
    <w:unhideWhenUsed/>
    <w:rsid w:val="00D23590"/>
    <w:rPr>
      <w:sz w:val="20"/>
    </w:rPr>
  </w:style>
  <w:style w:type="character" w:customStyle="1" w:styleId="EndnoteTextChar">
    <w:name w:val="Endnote Text Char"/>
    <w:basedOn w:val="DefaultParagraphFont"/>
    <w:link w:val="EndnoteText"/>
    <w:uiPriority w:val="99"/>
    <w:semiHidden/>
    <w:rsid w:val="00D23590"/>
    <w:rPr>
      <w:rFonts w:ascii="Arial" w:eastAsia="Times New Roman" w:hAnsi="Arial" w:cs="Arial"/>
      <w:sz w:val="20"/>
      <w:szCs w:val="20"/>
      <w:lang w:eastAsia="en-NZ"/>
    </w:rPr>
  </w:style>
  <w:style w:type="character" w:styleId="EndnoteReference">
    <w:name w:val="endnote reference"/>
    <w:basedOn w:val="DefaultParagraphFont"/>
    <w:uiPriority w:val="99"/>
    <w:semiHidden/>
    <w:unhideWhenUsed/>
    <w:rsid w:val="00D23590"/>
    <w:rPr>
      <w:vertAlign w:val="superscript"/>
    </w:rPr>
  </w:style>
  <w:style w:type="paragraph" w:customStyle="1" w:styleId="Legal1">
    <w:name w:val="Legal 1"/>
    <w:basedOn w:val="Normal"/>
    <w:uiPriority w:val="10"/>
    <w:qFormat/>
    <w:rsid w:val="00EB2573"/>
    <w:pPr>
      <w:numPr>
        <w:numId w:val="18"/>
      </w:numPr>
      <w:tabs>
        <w:tab w:val="clear" w:pos="567"/>
      </w:tabs>
      <w:spacing w:after="200" w:line="320" w:lineRule="atLeast"/>
      <w:jc w:val="left"/>
    </w:pPr>
    <w:rPr>
      <w:sz w:val="20"/>
      <w:lang w:eastAsia="en-US"/>
    </w:rPr>
  </w:style>
  <w:style w:type="paragraph" w:customStyle="1" w:styleId="Legal2">
    <w:name w:val="Legal 2"/>
    <w:basedOn w:val="Normal"/>
    <w:link w:val="Legal2Char"/>
    <w:uiPriority w:val="11"/>
    <w:qFormat/>
    <w:rsid w:val="00EB2573"/>
    <w:pPr>
      <w:numPr>
        <w:ilvl w:val="1"/>
        <w:numId w:val="18"/>
      </w:numPr>
      <w:tabs>
        <w:tab w:val="clear" w:pos="567"/>
      </w:tabs>
      <w:spacing w:after="200" w:line="320" w:lineRule="atLeast"/>
      <w:jc w:val="left"/>
    </w:pPr>
    <w:rPr>
      <w:sz w:val="20"/>
      <w:lang w:eastAsia="en-US"/>
    </w:rPr>
  </w:style>
  <w:style w:type="paragraph" w:customStyle="1" w:styleId="Legal3">
    <w:name w:val="Legal 3"/>
    <w:basedOn w:val="Normal"/>
    <w:uiPriority w:val="12"/>
    <w:qFormat/>
    <w:rsid w:val="00EB2573"/>
    <w:pPr>
      <w:numPr>
        <w:ilvl w:val="2"/>
        <w:numId w:val="18"/>
      </w:numPr>
      <w:tabs>
        <w:tab w:val="left" w:pos="1276"/>
      </w:tabs>
      <w:spacing w:after="200" w:line="320" w:lineRule="atLeast"/>
      <w:jc w:val="left"/>
    </w:pPr>
    <w:rPr>
      <w:sz w:val="20"/>
      <w:lang w:eastAsia="en-US"/>
    </w:rPr>
  </w:style>
  <w:style w:type="paragraph" w:customStyle="1" w:styleId="Legal4">
    <w:name w:val="Legal 4"/>
    <w:basedOn w:val="Normal"/>
    <w:semiHidden/>
    <w:rsid w:val="00EB2573"/>
    <w:pPr>
      <w:numPr>
        <w:ilvl w:val="3"/>
        <w:numId w:val="18"/>
      </w:numPr>
      <w:spacing w:after="200" w:line="320" w:lineRule="atLeast"/>
      <w:jc w:val="left"/>
    </w:pPr>
    <w:rPr>
      <w:sz w:val="20"/>
      <w:lang w:eastAsia="en-US"/>
    </w:rPr>
  </w:style>
  <w:style w:type="paragraph" w:customStyle="1" w:styleId="Legal5">
    <w:name w:val="Legal 5"/>
    <w:basedOn w:val="Normal"/>
    <w:semiHidden/>
    <w:rsid w:val="00EB2573"/>
    <w:pPr>
      <w:numPr>
        <w:ilvl w:val="4"/>
        <w:numId w:val="18"/>
      </w:numPr>
      <w:spacing w:after="200" w:line="320" w:lineRule="atLeast"/>
      <w:jc w:val="left"/>
    </w:pPr>
    <w:rPr>
      <w:sz w:val="20"/>
      <w:lang w:eastAsia="en-US"/>
    </w:rPr>
  </w:style>
  <w:style w:type="paragraph" w:customStyle="1" w:styleId="Legal6">
    <w:name w:val="Legal 6"/>
    <w:basedOn w:val="Normal"/>
    <w:semiHidden/>
    <w:rsid w:val="00EB2573"/>
    <w:pPr>
      <w:numPr>
        <w:ilvl w:val="5"/>
        <w:numId w:val="18"/>
      </w:numPr>
      <w:tabs>
        <w:tab w:val="clear" w:pos="3413"/>
        <w:tab w:val="left" w:pos="3260"/>
      </w:tabs>
      <w:spacing w:after="200" w:line="320" w:lineRule="atLeast"/>
      <w:jc w:val="left"/>
    </w:pPr>
    <w:rPr>
      <w:sz w:val="20"/>
      <w:lang w:eastAsia="en-US"/>
    </w:rPr>
  </w:style>
  <w:style w:type="paragraph" w:customStyle="1" w:styleId="Legal7">
    <w:name w:val="Legal 7"/>
    <w:basedOn w:val="Normal"/>
    <w:semiHidden/>
    <w:rsid w:val="00EB2573"/>
    <w:pPr>
      <w:numPr>
        <w:ilvl w:val="6"/>
        <w:numId w:val="18"/>
      </w:numPr>
      <w:spacing w:after="200" w:line="320" w:lineRule="atLeast"/>
      <w:jc w:val="left"/>
    </w:pPr>
    <w:rPr>
      <w:sz w:val="20"/>
      <w:lang w:eastAsia="en-US"/>
    </w:rPr>
  </w:style>
  <w:style w:type="paragraph" w:customStyle="1" w:styleId="Legal8">
    <w:name w:val="Legal 8"/>
    <w:basedOn w:val="Normal"/>
    <w:semiHidden/>
    <w:rsid w:val="00EB2573"/>
    <w:pPr>
      <w:numPr>
        <w:ilvl w:val="7"/>
        <w:numId w:val="18"/>
      </w:numPr>
      <w:spacing w:after="200" w:line="320" w:lineRule="atLeast"/>
      <w:jc w:val="left"/>
    </w:pPr>
    <w:rPr>
      <w:sz w:val="20"/>
      <w:lang w:eastAsia="en-US"/>
    </w:rPr>
  </w:style>
  <w:style w:type="paragraph" w:customStyle="1" w:styleId="Legal9">
    <w:name w:val="Legal 9"/>
    <w:basedOn w:val="Normal"/>
    <w:semiHidden/>
    <w:rsid w:val="00EB2573"/>
    <w:pPr>
      <w:numPr>
        <w:ilvl w:val="8"/>
        <w:numId w:val="18"/>
      </w:numPr>
      <w:spacing w:after="200" w:line="320" w:lineRule="atLeast"/>
      <w:jc w:val="left"/>
    </w:pPr>
    <w:rPr>
      <w:sz w:val="20"/>
      <w:lang w:eastAsia="en-US"/>
    </w:rPr>
  </w:style>
  <w:style w:type="character" w:customStyle="1" w:styleId="Legal2Char">
    <w:name w:val="Legal 2 Char"/>
    <w:link w:val="Legal2"/>
    <w:uiPriority w:val="11"/>
    <w:rsid w:val="00EB2573"/>
    <w:rPr>
      <w:rFonts w:ascii="Arial" w:eastAsia="Times New Roman" w:hAnsi="Arial" w:cs="Arial"/>
      <w:sz w:val="20"/>
      <w:szCs w:val="20"/>
    </w:rPr>
  </w:style>
  <w:style w:type="table" w:customStyle="1" w:styleId="TableGrid1">
    <w:name w:val="Table Grid1"/>
    <w:basedOn w:val="TableNormal"/>
    <w:next w:val="TableGrid"/>
    <w:uiPriority w:val="39"/>
    <w:rsid w:val="009F78A7"/>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06F"/>
    <w:rPr>
      <w:sz w:val="16"/>
      <w:szCs w:val="16"/>
    </w:rPr>
  </w:style>
  <w:style w:type="paragraph" w:styleId="CommentText">
    <w:name w:val="annotation text"/>
    <w:basedOn w:val="Normal"/>
    <w:link w:val="CommentTextChar"/>
    <w:uiPriority w:val="99"/>
    <w:semiHidden/>
    <w:unhideWhenUsed/>
    <w:rsid w:val="0056606F"/>
    <w:rPr>
      <w:sz w:val="20"/>
    </w:rPr>
  </w:style>
  <w:style w:type="character" w:customStyle="1" w:styleId="CommentTextChar">
    <w:name w:val="Comment Text Char"/>
    <w:basedOn w:val="DefaultParagraphFont"/>
    <w:link w:val="CommentText"/>
    <w:uiPriority w:val="99"/>
    <w:semiHidden/>
    <w:rsid w:val="0056606F"/>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56606F"/>
    <w:rPr>
      <w:b/>
      <w:bCs/>
    </w:rPr>
  </w:style>
  <w:style w:type="character" w:customStyle="1" w:styleId="CommentSubjectChar">
    <w:name w:val="Comment Subject Char"/>
    <w:basedOn w:val="CommentTextChar"/>
    <w:link w:val="CommentSubject"/>
    <w:uiPriority w:val="99"/>
    <w:semiHidden/>
    <w:rsid w:val="0056606F"/>
    <w:rPr>
      <w:rFonts w:ascii="Arial" w:eastAsia="Times New Roman" w:hAnsi="Arial" w:cs="Arial"/>
      <w:b/>
      <w:bCs/>
      <w:sz w:val="20"/>
      <w:szCs w:val="20"/>
      <w:lang w:eastAsia="en-NZ"/>
    </w:rPr>
  </w:style>
  <w:style w:type="character" w:styleId="Hyperlink">
    <w:name w:val="Hyperlink"/>
    <w:aliases w:val="Schedules"/>
    <w:uiPriority w:val="99"/>
    <w:semiHidden/>
    <w:rsid w:val="00304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5546">
      <w:bodyDiv w:val="1"/>
      <w:marLeft w:val="0"/>
      <w:marRight w:val="0"/>
      <w:marTop w:val="0"/>
      <w:marBottom w:val="0"/>
      <w:divBdr>
        <w:top w:val="none" w:sz="0" w:space="0" w:color="auto"/>
        <w:left w:val="none" w:sz="0" w:space="0" w:color="auto"/>
        <w:bottom w:val="none" w:sz="0" w:space="0" w:color="auto"/>
        <w:right w:val="none" w:sz="0" w:space="0" w:color="auto"/>
      </w:divBdr>
    </w:div>
    <w:div w:id="640812068">
      <w:bodyDiv w:val="1"/>
      <w:marLeft w:val="0"/>
      <w:marRight w:val="0"/>
      <w:marTop w:val="0"/>
      <w:marBottom w:val="0"/>
      <w:divBdr>
        <w:top w:val="none" w:sz="0" w:space="0" w:color="auto"/>
        <w:left w:val="none" w:sz="0" w:space="0" w:color="auto"/>
        <w:bottom w:val="none" w:sz="0" w:space="0" w:color="auto"/>
        <w:right w:val="none" w:sz="0" w:space="0" w:color="auto"/>
      </w:divBdr>
    </w:div>
    <w:div w:id="831260705">
      <w:bodyDiv w:val="1"/>
      <w:marLeft w:val="0"/>
      <w:marRight w:val="0"/>
      <w:marTop w:val="0"/>
      <w:marBottom w:val="0"/>
      <w:divBdr>
        <w:top w:val="none" w:sz="0" w:space="0" w:color="auto"/>
        <w:left w:val="none" w:sz="0" w:space="0" w:color="auto"/>
        <w:bottom w:val="none" w:sz="0" w:space="0" w:color="auto"/>
        <w:right w:val="none" w:sz="0" w:space="0" w:color="auto"/>
      </w:divBdr>
    </w:div>
    <w:div w:id="1604222927">
      <w:bodyDiv w:val="1"/>
      <w:marLeft w:val="0"/>
      <w:marRight w:val="0"/>
      <w:marTop w:val="0"/>
      <w:marBottom w:val="0"/>
      <w:divBdr>
        <w:top w:val="none" w:sz="0" w:space="0" w:color="auto"/>
        <w:left w:val="none" w:sz="0" w:space="0" w:color="auto"/>
        <w:bottom w:val="none" w:sz="0" w:space="0" w:color="auto"/>
        <w:right w:val="none" w:sz="0" w:space="0" w:color="auto"/>
      </w:divBdr>
    </w:div>
    <w:div w:id="18062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templates@angelassociation.co.nz"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umentMetaData xmlns:xsi="http://www.w3.org/2001/XMLSchema-instance" xmlns:xsd="http://www.w3.org/2001/XMLSchema" xmlns="urn:documentMetaData-schema">
  <FirmId>9041860c-6978-43a5-8641-d04e1075076e</FirmId>
  <DocumentId>218011</DocumentId>
  <CreationDateTime>2019-02-04T15:33:45.3456014+13:00</CreationDateTime>
  <LastUpdatedDateTime>2018-03-27T20:50:12</LastUpdatedDateTime>
  <DocumentDate>2019-02-04</DocumentDate>
  <DocumentName>AANZ Template Term Sheet (equity investment) [Version 1 - 4 February 2019]</DocumentName>
  <DocumentType>Word Document</DocumentType>
  <WellKnownDocumentType>WordDocument</WellKnownDocumentType>
  <TemplateId>00000000-0000-0000-0000-000000000000</TemplateId>
  <Operator>
    <UserId>3702785</UserId>
    <Party>
      <PartyId>3637249</PartyId>
      <FullName>Murray Whyte</FullName>
      <MailingName/>
      <Salutation/>
      <Occupation/>
      <ClientId/>
      <ClientNumber/>
      <PhysicalAddress>
        <Lines>
          <Line/>
        </Lines>
        <MultiLine/>
        <Line1/>
        <SingleLine/>
        <SingleLineCsv/>
        <PostCode/>
      </PhysicalAddress>
      <PostalAddress>
        <Lines>
          <Line/>
        </Lines>
        <MultiLine/>
        <Line1/>
        <SingleLine/>
        <SingleLineCsv/>
        <PostCode/>
      </PostalAddress>
      <Email>murray.whyte@avid.legal</Email>
      <Phone>+64 4 280 6261</Phone>
      <Fax/>
      <IsTaxResident>false</IsTaxResident>
      <GstNumber/>
    </Party>
    <UserName>MW</UserName>
    <Initials>MW</Initials>
    <OfficePartyId>65537</OfficePartyId>
    <OfficeName>HO</OfficeName>
    <AuthorRole>Director</AuthorRole>
  </Operator>
  <Author>
    <UserId>3702785</UserId>
    <Party>
      <PartyId>3637249</PartyId>
      <FullName>Murray Whyte</FullName>
      <MailingName/>
      <Salutation/>
      <Occupation/>
      <ClientId/>
      <ClientNumber/>
      <PhysicalAddress>
        <Lines>
          <Line/>
        </Lines>
        <MultiLine/>
        <Line1/>
        <SingleLine/>
        <SingleLineCsv/>
        <PostCode/>
      </PhysicalAddress>
      <PostalAddress>
        <Lines>
          <Line/>
        </Lines>
        <MultiLine/>
        <Line1/>
        <SingleLine/>
        <SingleLineCsv/>
        <PostCode/>
      </PostalAddress>
      <Email>murray.whyte@avid.legal</Email>
      <Phone>+64 4 280 6261</Phone>
      <Fax/>
      <IsTaxResident>false</IsTaxResident>
      <GstNumber/>
    </Party>
    <UserName>MW</UserName>
    <Initials>MW</Initials>
    <OfficePartyId>65537</OfficePartyId>
    <OfficeName>HO</OfficeName>
    <AuthorRole>Director</AuthorRole>
  </Author>
  <Office>
    <PartyId>65537</PartyId>
    <FullName>Head Office</FullName>
    <MailingName/>
    <Salutation/>
    <Occupation/>
    <ClientId/>
    <ClientNumber/>
    <PhysicalAddress>
      <Lines>
        <Line/>
      </Lines>
      <MultiLine/>
      <Line1/>
      <SingleLine/>
      <SingleLineCsv/>
      <PostCode/>
    </PhysicalAddress>
    <PostalAddress>
      <Lines>
        <Line/>
      </Lines>
      <MultiLine/>
      <Line1/>
      <SingleLine/>
      <SingleLineCsv/>
      <PostCode/>
    </PostalAddress>
    <Email/>
    <Phone/>
    <Fax/>
    <IsTaxResident>true</IsTaxResident>
    <GstNumber/>
  </Office>
  <Client>
    <PartyId>5308417</PartyId>
    <FullName>Avid.legal Limited</FullName>
    <MailingName>Avid.legal Limited</MailingName>
    <Salutation/>
    <Occupation/>
    <ClientId>5373953</ClientId>
    <ClientNumber>2136</ClientNumber>
    <PhysicalAddress>
      <Lines>
        <Line/>
      </Lines>
      <MultiLine/>
      <Line1/>
      <SingleLine/>
      <SingleLineCsv/>
      <PostCode/>
    </PhysicalAddress>
    <PostalAddress>
      <Lines>
        <Line/>
      </Lines>
      <MultiLine/>
      <Line1/>
      <SingleLine/>
      <SingleLineCsv/>
      <PostCode/>
    </PostalAddress>
    <Email/>
    <Phone/>
    <Fax/>
    <IsTaxResident>true</IsTaxResident>
    <GstNumber/>
  </Client>
  <Matter>
    <MatterId>27525130</MatterId>
    <Name>AANZ industry investment documents</Name>
    <MatterNumber>16</MatterNumber>
  </Matter>
  <Categories>
    <Category>Documents</Category>
  </Categories>
</DocumentMetaData>
</file>

<file path=customXml/item2.xml><?xml version="1.0" encoding="utf-8"?>
<MetaData xmlns:d1p1="http://schemas.datacontract.org/2004/07/System.Collections.Generic" xmlns:i="http://www.w3.org/2001/XMLSchema-instance" xmlns="http://schemas.onelaw.co.nz/office/2013/03/{9041860C-6978-43A5-8641-D04E1075076E}/">
  <d1p1:KeyValuePairOfstringstring>
    <d1p1:key>Document Id</d1p1:key>
    <d1p1:value>218011</d1p1:value>
  </d1p1:KeyValuePairOfstringstring>
  <d1p1:KeyValuePairOfstringstring>
    <d1p1:key>Document Name</d1p1:key>
    <d1p1:value>AANZ Template Term Sheet (equity investment) [Version 1 - 4 February 2019]</d1p1:value>
  </d1p1:KeyValuePairOfstringstring>
  <d1p1:KeyValuePairOfstringstring>
    <d1p1:key>Filed</d1p1:key>
    <d1p1:value>2136.16</d1p1:value>
  </d1p1:KeyValuePairOfstringstring>
  <d1p1:KeyValuePairOfstringstring>
    <d1p1:key>Client Number</d1p1:key>
    <d1p1:value>2136</d1p1:value>
  </d1p1:KeyValuePairOfstringstring>
  <d1p1:KeyValuePairOfstringstring>
    <d1p1:key>Matter Number</d1p1:key>
    <d1p1:value>16</d1p1:value>
  </d1p1:KeyValuePairOfstringstring>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9A2B-94DB-41E3-B6A3-8E6C874B8D21}">
  <ds:schemaRefs>
    <ds:schemaRef ds:uri="urn:documentMetaData-schema"/>
  </ds:schemaRefs>
</ds:datastoreItem>
</file>

<file path=customXml/itemProps2.xml><?xml version="1.0" encoding="utf-8"?>
<ds:datastoreItem xmlns:ds="http://schemas.openxmlformats.org/officeDocument/2006/customXml" ds:itemID="{FC28AE15-BDEF-4D16-83FB-E190CFBCC813}">
  <ds:schemaRefs>
    <ds:schemaRef ds:uri="http://schemas.datacontract.org/2004/07/System.Collections.Generic"/>
    <ds:schemaRef ds:uri="http://schemas.onelaw.co.nz/office/2013/03/{9041860C-6978-43A5-8641-D04E1075076E}/"/>
  </ds:schemaRefs>
</ds:datastoreItem>
</file>

<file path=customXml/itemProps3.xml><?xml version="1.0" encoding="utf-8"?>
<ds:datastoreItem xmlns:ds="http://schemas.openxmlformats.org/officeDocument/2006/customXml" ds:itemID="{F3C703B2-A6FB-4B78-B9C0-292C9118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89DB5C5A</Template>
  <TotalTime>66</TotalTime>
  <Pages>1</Pages>
  <Words>2831</Words>
  <Characters>15997</Characters>
  <Application>Microsoft Office Word</Application>
  <DocSecurity>0</DocSecurity>
  <Lines>639</Lines>
  <Paragraphs>285</Paragraphs>
  <ScaleCrop>false</ScaleCrop>
  <HeadingPairs>
    <vt:vector size="2" baseType="variant">
      <vt:variant>
        <vt:lpstr>Title</vt:lpstr>
      </vt:variant>
      <vt:variant>
        <vt:i4>1</vt:i4>
      </vt:variant>
    </vt:vector>
  </HeadingPairs>
  <TitlesOfParts>
    <vt:vector size="1" baseType="lpstr">
      <vt:lpstr>AANZ Template Term Sheet (equity investment) [Version 1 - 4 February 2019]</vt:lpstr>
    </vt:vector>
  </TitlesOfParts>
  <Company>Avid.legal</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AANZ Template Term Sheet (equity investment) [Version 1 - 4 February 2019]</dc:title>
  <dc:subject>AANZ Template Term Sheet (equity investment) [Version 1 - 4 February 2019]</dc:subject>
  <dc:creator>murray.whyte@avid.legal</dc:creator>
  <cp:lastModifiedBy>murray.why_avidlegal</cp:lastModifiedBy>
  <cp:revision>2</cp:revision>
  <cp:lastPrinted>2018-11-15T01:31:00Z</cp:lastPrinted>
  <dcterms:created xsi:type="dcterms:W3CDTF">2019-02-04T02:34:00Z</dcterms:created>
  <dcterms:modified xsi:type="dcterms:W3CDTF">2019-02-06T19:55:00Z</dcterms:modified>
</cp:coreProperties>
</file>